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39955" w14:textId="77777777" w:rsidR="001107FE" w:rsidRPr="00CC7E97" w:rsidRDefault="001107FE">
      <w:pPr>
        <w:pStyle w:val="TLTAppendixHeading"/>
        <w:numPr>
          <w:ilvl w:val="0"/>
          <w:numId w:val="77"/>
        </w:numPr>
      </w:pPr>
      <w:bookmarkStart w:id="0" w:name="_Ref186195346"/>
    </w:p>
    <w:bookmarkEnd w:id="0"/>
    <w:p w14:paraId="5D3811F1" w14:textId="466C491B" w:rsidR="00194C32" w:rsidRPr="00CC7E97" w:rsidRDefault="00194C32" w:rsidP="00DB0016">
      <w:pPr>
        <w:pStyle w:val="TLTBodyTextBold"/>
      </w:pPr>
    </w:p>
    <w:tbl>
      <w:tblPr>
        <w:tblW w:w="14889" w:type="dxa"/>
        <w:tblInd w:w="-719" w:type="dxa"/>
        <w:tblLayout w:type="fixed"/>
        <w:tblLook w:val="04A0" w:firstRow="1" w:lastRow="0" w:firstColumn="1" w:lastColumn="0" w:noHBand="0" w:noVBand="1"/>
      </w:tblPr>
      <w:tblGrid>
        <w:gridCol w:w="928"/>
        <w:gridCol w:w="1995"/>
        <w:gridCol w:w="1795"/>
        <w:gridCol w:w="1550"/>
        <w:gridCol w:w="1466"/>
        <w:gridCol w:w="894"/>
        <w:gridCol w:w="1440"/>
        <w:gridCol w:w="4821"/>
      </w:tblGrid>
      <w:tr w:rsidR="00194C32" w:rsidRPr="00CC7E97" w14:paraId="2E81101A" w14:textId="77777777" w:rsidTr="00DB0016">
        <w:trPr>
          <w:trHeight w:val="284"/>
          <w:tblHeader/>
        </w:trPr>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153998" w14:textId="77777777" w:rsidR="00194C32" w:rsidRPr="00CC7E97" w:rsidRDefault="00194C32" w:rsidP="00194C32">
            <w:pPr>
              <w:pStyle w:val="TLTBodyTextBold"/>
            </w:pPr>
            <w:r w:rsidRPr="00CC7E97">
              <w:t>HMCTS ID</w:t>
            </w:r>
          </w:p>
        </w:tc>
        <w:tc>
          <w:tcPr>
            <w:tcW w:w="1995" w:type="dxa"/>
            <w:tcBorders>
              <w:top w:val="single" w:sz="4" w:space="0" w:color="auto"/>
              <w:left w:val="nil"/>
              <w:bottom w:val="single" w:sz="4" w:space="0" w:color="auto"/>
              <w:right w:val="single" w:sz="4" w:space="0" w:color="auto"/>
            </w:tcBorders>
            <w:shd w:val="clear" w:color="auto" w:fill="D9D9D9" w:themeFill="background1" w:themeFillShade="D9"/>
            <w:hideMark/>
          </w:tcPr>
          <w:p w14:paraId="084F5D68" w14:textId="77777777" w:rsidR="00194C32" w:rsidRPr="00CC7E97" w:rsidRDefault="00194C32" w:rsidP="00194C32">
            <w:pPr>
              <w:pStyle w:val="TLTBodyTextBold"/>
            </w:pPr>
            <w:r w:rsidRPr="00CC7E97">
              <w:t>ISO/IEC 27001:2013 Control Set</w:t>
            </w:r>
          </w:p>
        </w:tc>
        <w:tc>
          <w:tcPr>
            <w:tcW w:w="1795" w:type="dxa"/>
            <w:tcBorders>
              <w:top w:val="single" w:sz="4" w:space="0" w:color="auto"/>
              <w:left w:val="nil"/>
              <w:bottom w:val="single" w:sz="4" w:space="0" w:color="auto"/>
              <w:right w:val="single" w:sz="4" w:space="0" w:color="auto"/>
            </w:tcBorders>
            <w:shd w:val="clear" w:color="auto" w:fill="D9D9D9" w:themeFill="background1" w:themeFillShade="D9"/>
            <w:hideMark/>
          </w:tcPr>
          <w:p w14:paraId="67BF0272" w14:textId="77777777" w:rsidR="00194C32" w:rsidRPr="00CC7E97" w:rsidRDefault="00194C32" w:rsidP="00194C32">
            <w:pPr>
              <w:pStyle w:val="TLTBodyTextBold"/>
            </w:pPr>
            <w:r w:rsidRPr="00CC7E97">
              <w:t>Control</w:t>
            </w:r>
          </w:p>
        </w:tc>
        <w:tc>
          <w:tcPr>
            <w:tcW w:w="1550" w:type="dxa"/>
            <w:tcBorders>
              <w:top w:val="single" w:sz="4" w:space="0" w:color="auto"/>
              <w:left w:val="nil"/>
              <w:bottom w:val="single" w:sz="4" w:space="0" w:color="auto"/>
              <w:right w:val="single" w:sz="4" w:space="0" w:color="auto"/>
            </w:tcBorders>
            <w:shd w:val="clear" w:color="auto" w:fill="D9D9D9" w:themeFill="background1" w:themeFillShade="D9"/>
            <w:hideMark/>
          </w:tcPr>
          <w:p w14:paraId="25CDBAF0" w14:textId="77777777" w:rsidR="00194C32" w:rsidRPr="00CC7E97" w:rsidRDefault="00194C32" w:rsidP="00194C32">
            <w:pPr>
              <w:pStyle w:val="TLTBodyTextBold"/>
            </w:pPr>
            <w:r w:rsidRPr="00CC7E97">
              <w:t>NCSC CAF Objective</w:t>
            </w:r>
          </w:p>
        </w:tc>
        <w:tc>
          <w:tcPr>
            <w:tcW w:w="1466" w:type="dxa"/>
            <w:tcBorders>
              <w:top w:val="single" w:sz="4" w:space="0" w:color="auto"/>
              <w:left w:val="nil"/>
              <w:bottom w:val="single" w:sz="4" w:space="0" w:color="auto"/>
              <w:right w:val="single" w:sz="4" w:space="0" w:color="auto"/>
            </w:tcBorders>
            <w:shd w:val="clear" w:color="auto" w:fill="D9D9D9" w:themeFill="background1" w:themeFillShade="D9"/>
            <w:hideMark/>
          </w:tcPr>
          <w:p w14:paraId="608955C3" w14:textId="77777777" w:rsidR="00194C32" w:rsidRPr="00CC7E97" w:rsidRDefault="00194C32" w:rsidP="00194C32">
            <w:pPr>
              <w:pStyle w:val="TLTBodyTextBold"/>
            </w:pPr>
            <w:r w:rsidRPr="00CC7E97">
              <w:t>Purpose</w:t>
            </w:r>
          </w:p>
        </w:tc>
        <w:tc>
          <w:tcPr>
            <w:tcW w:w="894" w:type="dxa"/>
            <w:tcBorders>
              <w:top w:val="single" w:sz="4" w:space="0" w:color="auto"/>
              <w:left w:val="nil"/>
              <w:bottom w:val="single" w:sz="4" w:space="0" w:color="auto"/>
              <w:right w:val="single" w:sz="4" w:space="0" w:color="auto"/>
            </w:tcBorders>
            <w:shd w:val="clear" w:color="auto" w:fill="D9D9D9" w:themeFill="background1" w:themeFillShade="D9"/>
            <w:hideMark/>
          </w:tcPr>
          <w:p w14:paraId="0FAC0C1C" w14:textId="77777777" w:rsidR="00194C32" w:rsidRPr="00CC7E97" w:rsidRDefault="00194C32" w:rsidP="00194C32">
            <w:pPr>
              <w:pStyle w:val="TLTBodyTextBold"/>
            </w:pPr>
            <w:r w:rsidRPr="00CC7E97">
              <w:t xml:space="preserve">Must or </w:t>
            </w:r>
            <w:proofErr w:type="gramStart"/>
            <w:r w:rsidRPr="00CC7E97">
              <w:t>Should</w:t>
            </w:r>
            <w:proofErr w:type="gramEnd"/>
            <w:r w:rsidRPr="00CC7E97">
              <w:t xml:space="preserve"> </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hideMark/>
          </w:tcPr>
          <w:p w14:paraId="565941B9" w14:textId="77777777" w:rsidR="00194C32" w:rsidRPr="00CC7E97" w:rsidRDefault="00194C32" w:rsidP="00194C32">
            <w:pPr>
              <w:pStyle w:val="TLTBodyTextBold"/>
            </w:pPr>
            <w:r w:rsidRPr="00CC7E97">
              <w:t>Primary Evidence</w:t>
            </w:r>
          </w:p>
        </w:tc>
        <w:tc>
          <w:tcPr>
            <w:tcW w:w="48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93B2ED9" w14:textId="77777777" w:rsidR="00194C32" w:rsidRPr="00CC7E97" w:rsidRDefault="00194C32" w:rsidP="00194C32">
            <w:pPr>
              <w:pStyle w:val="TLTBodyTextBold"/>
            </w:pPr>
            <w:r w:rsidRPr="00CC7E97">
              <w:t>Security Non-Functional Requirements</w:t>
            </w:r>
          </w:p>
        </w:tc>
      </w:tr>
      <w:tr w:rsidR="00194C32" w:rsidRPr="00CC7E97" w14:paraId="5FBB8B3F"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853840C" w14:textId="77777777" w:rsidR="00194C32" w:rsidRPr="00CC7E97" w:rsidRDefault="00194C32" w:rsidP="00194C32">
            <w:pPr>
              <w:pStyle w:val="TLTBodyText"/>
            </w:pPr>
            <w:r w:rsidRPr="00CC7E97">
              <w:t>SEC-01-001</w:t>
            </w:r>
          </w:p>
        </w:tc>
        <w:tc>
          <w:tcPr>
            <w:tcW w:w="1995" w:type="dxa"/>
            <w:tcBorders>
              <w:top w:val="nil"/>
              <w:left w:val="nil"/>
              <w:bottom w:val="single" w:sz="4" w:space="0" w:color="auto"/>
              <w:right w:val="single" w:sz="4" w:space="0" w:color="auto"/>
            </w:tcBorders>
            <w:shd w:val="clear" w:color="auto" w:fill="auto"/>
            <w:hideMark/>
          </w:tcPr>
          <w:p w14:paraId="26FD8898" w14:textId="77777777" w:rsidR="00194C32" w:rsidRPr="00CC7E97" w:rsidRDefault="00194C32" w:rsidP="00194C32">
            <w:pPr>
              <w:pStyle w:val="TLTBodyText"/>
              <w:rPr>
                <w:color w:val="000000"/>
              </w:rPr>
            </w:pPr>
            <w:r w:rsidRPr="00CC7E97">
              <w:rPr>
                <w:color w:val="000000"/>
              </w:rPr>
              <w:t>Information Security Policies</w:t>
            </w:r>
          </w:p>
        </w:tc>
        <w:tc>
          <w:tcPr>
            <w:tcW w:w="1795" w:type="dxa"/>
            <w:tcBorders>
              <w:top w:val="nil"/>
              <w:left w:val="nil"/>
              <w:bottom w:val="single" w:sz="4" w:space="0" w:color="auto"/>
              <w:right w:val="single" w:sz="4" w:space="0" w:color="auto"/>
            </w:tcBorders>
            <w:shd w:val="clear" w:color="auto" w:fill="auto"/>
            <w:hideMark/>
          </w:tcPr>
          <w:p w14:paraId="676DE697" w14:textId="77777777" w:rsidR="00194C32" w:rsidRPr="00CC7E97" w:rsidRDefault="00194C32" w:rsidP="00194C32">
            <w:pPr>
              <w:pStyle w:val="TLTBodyText"/>
              <w:rPr>
                <w:color w:val="000000"/>
              </w:rPr>
            </w:pPr>
            <w:r w:rsidRPr="00CC7E97">
              <w:rPr>
                <w:color w:val="000000"/>
              </w:rPr>
              <w:t>Policy</w:t>
            </w:r>
          </w:p>
        </w:tc>
        <w:tc>
          <w:tcPr>
            <w:tcW w:w="1550" w:type="dxa"/>
            <w:tcBorders>
              <w:top w:val="nil"/>
              <w:left w:val="nil"/>
              <w:bottom w:val="single" w:sz="4" w:space="0" w:color="auto"/>
              <w:right w:val="single" w:sz="4" w:space="0" w:color="auto"/>
            </w:tcBorders>
            <w:shd w:val="clear" w:color="auto" w:fill="auto"/>
            <w:hideMark/>
          </w:tcPr>
          <w:p w14:paraId="7E34119C"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2E9476F3"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10A403B3"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7F2E9F13"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3A998CD2" w14:textId="77777777" w:rsidR="00194C32" w:rsidRPr="00CC7E97" w:rsidRDefault="00194C32" w:rsidP="00194C32">
            <w:pPr>
              <w:pStyle w:val="TLTBodyText"/>
            </w:pPr>
            <w:r w:rsidRPr="00CC7E97">
              <w:t xml:space="preserve">The solution should comply with applicable HMCTS Security Policies as shared – </w:t>
            </w:r>
          </w:p>
          <w:p w14:paraId="2FBC23F0" w14:textId="77777777" w:rsidR="00194C32" w:rsidRPr="00CC7E97" w:rsidRDefault="00194C32" w:rsidP="00194C32">
            <w:pPr>
              <w:pStyle w:val="TLTBodyTextBold"/>
            </w:pPr>
            <w:r w:rsidRPr="00CC7E97">
              <w:t>Overarching Information Security Management Policy, Data Protection Policy Review, HMCTS Acceptable Use Policy, HMCTS BYOD Policy, Remote Working Policy, HMCTS Information Risk Management Policy, HMCTS Security Incident management Policy, Information Classification and Handling Policy, HMCTS Information Security in Supplier Relationships Policy, HMCTS Security Training and Awareness Policy, HMCTS ISMS Internal Audit Policy, Security in Information Asset Management Policy, HMCTS Secure Development Policy, HMCTS Information Security in BCM Policy, Decommissioning and Disposal Policy, Cyber Security Logging and Monitoring Policy, Authentication and Logical Access Control Policy, HMCTS Backup Policy, HMCTS Information Transfer Policy, HMCTS Crypto Management Security Policy &amp; HMCTS Change Management Policy.</w:t>
            </w:r>
          </w:p>
        </w:tc>
      </w:tr>
      <w:tr w:rsidR="00194C32" w:rsidRPr="00CC7E97" w14:paraId="7D74ADF8"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38D9E0A8" w14:textId="77777777" w:rsidR="00194C32" w:rsidRPr="00CC7E97" w:rsidRDefault="00194C32" w:rsidP="00194C32">
            <w:pPr>
              <w:pStyle w:val="TLTBodyText"/>
            </w:pPr>
            <w:r w:rsidRPr="00CC7E97">
              <w:t>SEC-01-002</w:t>
            </w:r>
          </w:p>
        </w:tc>
        <w:tc>
          <w:tcPr>
            <w:tcW w:w="1995" w:type="dxa"/>
            <w:tcBorders>
              <w:top w:val="nil"/>
              <w:left w:val="nil"/>
              <w:bottom w:val="single" w:sz="4" w:space="0" w:color="auto"/>
              <w:right w:val="single" w:sz="4" w:space="0" w:color="auto"/>
            </w:tcBorders>
            <w:shd w:val="clear" w:color="auto" w:fill="auto"/>
            <w:hideMark/>
          </w:tcPr>
          <w:p w14:paraId="198C4EAC" w14:textId="77777777" w:rsidR="00194C32" w:rsidRPr="00CC7E97" w:rsidRDefault="00194C32" w:rsidP="00194C32">
            <w:pPr>
              <w:pStyle w:val="TLTBodyText"/>
              <w:rPr>
                <w:color w:val="000000"/>
              </w:rPr>
            </w:pPr>
            <w:r w:rsidRPr="00CC7E97">
              <w:rPr>
                <w:color w:val="000000"/>
              </w:rPr>
              <w:t>Information Security Policies</w:t>
            </w:r>
          </w:p>
        </w:tc>
        <w:tc>
          <w:tcPr>
            <w:tcW w:w="1795" w:type="dxa"/>
            <w:tcBorders>
              <w:top w:val="nil"/>
              <w:left w:val="nil"/>
              <w:bottom w:val="single" w:sz="4" w:space="0" w:color="auto"/>
              <w:right w:val="single" w:sz="4" w:space="0" w:color="auto"/>
            </w:tcBorders>
            <w:shd w:val="clear" w:color="auto" w:fill="auto"/>
            <w:hideMark/>
          </w:tcPr>
          <w:p w14:paraId="36B2D475" w14:textId="77777777" w:rsidR="00194C32" w:rsidRPr="00CC7E97" w:rsidRDefault="00194C32" w:rsidP="00194C32">
            <w:pPr>
              <w:pStyle w:val="TLTBodyText"/>
              <w:rPr>
                <w:color w:val="000000"/>
              </w:rPr>
            </w:pPr>
            <w:r w:rsidRPr="00CC7E97">
              <w:rPr>
                <w:color w:val="000000"/>
              </w:rPr>
              <w:t>Policy</w:t>
            </w:r>
          </w:p>
        </w:tc>
        <w:tc>
          <w:tcPr>
            <w:tcW w:w="1550" w:type="dxa"/>
            <w:tcBorders>
              <w:top w:val="nil"/>
              <w:left w:val="nil"/>
              <w:bottom w:val="single" w:sz="4" w:space="0" w:color="auto"/>
              <w:right w:val="single" w:sz="4" w:space="0" w:color="auto"/>
            </w:tcBorders>
            <w:shd w:val="clear" w:color="auto" w:fill="auto"/>
            <w:hideMark/>
          </w:tcPr>
          <w:p w14:paraId="058D5A49"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1ACD4477"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4FC84792"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516E8AAC"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18CAD223" w14:textId="77777777" w:rsidR="00194C32" w:rsidRPr="00CC7E97" w:rsidRDefault="00194C32" w:rsidP="00194C32">
            <w:pPr>
              <w:pStyle w:val="TLTBodyText"/>
            </w:pPr>
            <w:r w:rsidRPr="00CC7E97">
              <w:t xml:space="preserve">The supplier should comply with applicable HMCTS Security Policies as shared – </w:t>
            </w:r>
          </w:p>
          <w:p w14:paraId="37EC408A" w14:textId="77777777" w:rsidR="00194C32" w:rsidRPr="00CC7E97" w:rsidRDefault="00194C32" w:rsidP="00194C32">
            <w:pPr>
              <w:pStyle w:val="TLTBodyTextBold"/>
            </w:pPr>
            <w:r w:rsidRPr="00CC7E97">
              <w:t xml:space="preserve">Overarching Information Security Management Policy, Data Protection Policy Review, HMCTS </w:t>
            </w:r>
            <w:r w:rsidRPr="00CC7E97">
              <w:lastRenderedPageBreak/>
              <w:t>Acceptable Use Policy, HMCTS BYOD Policy, Remote Working Policy, HMCTS Information Risk Management Policy, HMCTS Security Incident management Policy, Information Classification and Handling Policy, HMCTS Information Security in Supplier Relationships Policy, HMCTS Security Training and Awareness Policy, HMCTS ISMS Internal Audit Policy, Security in Information Asset Management Policy, HMCTS Secure Development Policy, HMCTS Information Security in BCM Policy, Decommissioning and Disposal Policy, Cyber Security Logging and Monitoring Policy, Authentication and Logical Access Control Policy, HMCTS Backup Policy, HMCTS Information Transfer Policy, HMCTS Crypto Management Security Policy &amp; HMCTS Change Management Policy.</w:t>
            </w:r>
          </w:p>
        </w:tc>
      </w:tr>
      <w:tr w:rsidR="00194C32" w:rsidRPr="00CC7E97" w14:paraId="47268340"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0042FA02" w14:textId="77777777" w:rsidR="00194C32" w:rsidRPr="00CC7E97" w:rsidRDefault="00194C32" w:rsidP="00194C32">
            <w:pPr>
              <w:pStyle w:val="TLTBodyText"/>
            </w:pPr>
            <w:r w:rsidRPr="00CC7E97">
              <w:lastRenderedPageBreak/>
              <w:t>SEC-02-001</w:t>
            </w:r>
          </w:p>
        </w:tc>
        <w:tc>
          <w:tcPr>
            <w:tcW w:w="1995" w:type="dxa"/>
            <w:tcBorders>
              <w:top w:val="nil"/>
              <w:left w:val="nil"/>
              <w:bottom w:val="single" w:sz="4" w:space="0" w:color="auto"/>
              <w:right w:val="single" w:sz="4" w:space="0" w:color="auto"/>
            </w:tcBorders>
            <w:shd w:val="clear" w:color="auto" w:fill="auto"/>
            <w:hideMark/>
          </w:tcPr>
          <w:p w14:paraId="247DDC65" w14:textId="77777777" w:rsidR="00194C32" w:rsidRPr="00CC7E97" w:rsidRDefault="00194C32" w:rsidP="00194C32">
            <w:pPr>
              <w:pStyle w:val="TLTBodyText"/>
              <w:rPr>
                <w:color w:val="000000"/>
              </w:rPr>
            </w:pPr>
            <w:r w:rsidRPr="00CC7E97">
              <w:rPr>
                <w:color w:val="000000"/>
              </w:rPr>
              <w:t>Organisation of Information Security</w:t>
            </w:r>
          </w:p>
        </w:tc>
        <w:tc>
          <w:tcPr>
            <w:tcW w:w="1795" w:type="dxa"/>
            <w:tcBorders>
              <w:top w:val="nil"/>
              <w:left w:val="nil"/>
              <w:bottom w:val="single" w:sz="4" w:space="0" w:color="auto"/>
              <w:right w:val="single" w:sz="4" w:space="0" w:color="auto"/>
            </w:tcBorders>
            <w:shd w:val="clear" w:color="auto" w:fill="auto"/>
            <w:hideMark/>
          </w:tcPr>
          <w:p w14:paraId="0B7CD4FB" w14:textId="77777777" w:rsidR="00194C32" w:rsidRPr="00CC7E97" w:rsidRDefault="00194C32" w:rsidP="00194C32">
            <w:pPr>
              <w:pStyle w:val="TLTBodyText"/>
              <w:rPr>
                <w:color w:val="000000"/>
              </w:rPr>
            </w:pPr>
            <w:r w:rsidRPr="00CC7E97">
              <w:rPr>
                <w:color w:val="000000"/>
              </w:rPr>
              <w:t>SPOC</w:t>
            </w:r>
          </w:p>
        </w:tc>
        <w:tc>
          <w:tcPr>
            <w:tcW w:w="1550" w:type="dxa"/>
            <w:tcBorders>
              <w:top w:val="nil"/>
              <w:left w:val="nil"/>
              <w:bottom w:val="single" w:sz="4" w:space="0" w:color="auto"/>
              <w:right w:val="single" w:sz="4" w:space="0" w:color="auto"/>
            </w:tcBorders>
            <w:shd w:val="clear" w:color="auto" w:fill="auto"/>
            <w:hideMark/>
          </w:tcPr>
          <w:p w14:paraId="4F034B38"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4C69795C"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0561AC58"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0F1D715B"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77926B2D" w14:textId="77777777" w:rsidR="00194C32" w:rsidRPr="00CC7E97" w:rsidRDefault="00194C32" w:rsidP="00194C32">
            <w:pPr>
              <w:pStyle w:val="TLTBodyText"/>
            </w:pPr>
            <w:r w:rsidRPr="00CC7E97">
              <w:t>The supplier must provide HMCTS with a Single Point of Contact (SPOC) to act as coordinator and focal point for all the security aspects to the service and the SPOC (or a delegate) must be available to attend regular security working group meetings with HMCTS.</w:t>
            </w:r>
          </w:p>
        </w:tc>
      </w:tr>
      <w:tr w:rsidR="00194C32" w:rsidRPr="00CC7E97" w14:paraId="02F97F87"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B86094A" w14:textId="77777777" w:rsidR="00194C32" w:rsidRPr="00CC7E97" w:rsidRDefault="00194C32" w:rsidP="00194C32">
            <w:pPr>
              <w:pStyle w:val="TLTBodyText"/>
            </w:pPr>
            <w:r w:rsidRPr="00CC7E97">
              <w:t>SEC-03-001</w:t>
            </w:r>
          </w:p>
        </w:tc>
        <w:tc>
          <w:tcPr>
            <w:tcW w:w="1995" w:type="dxa"/>
            <w:tcBorders>
              <w:top w:val="nil"/>
              <w:left w:val="nil"/>
              <w:bottom w:val="single" w:sz="4" w:space="0" w:color="auto"/>
              <w:right w:val="single" w:sz="4" w:space="0" w:color="auto"/>
            </w:tcBorders>
            <w:shd w:val="clear" w:color="auto" w:fill="auto"/>
            <w:hideMark/>
          </w:tcPr>
          <w:p w14:paraId="501F29F5" w14:textId="77777777" w:rsidR="00194C32" w:rsidRPr="00CC7E97" w:rsidRDefault="00194C32" w:rsidP="00194C32">
            <w:pPr>
              <w:pStyle w:val="TLTBodyText"/>
              <w:rPr>
                <w:color w:val="000000"/>
              </w:rPr>
            </w:pPr>
            <w:r w:rsidRPr="00CC7E97">
              <w:rPr>
                <w:color w:val="000000"/>
              </w:rPr>
              <w:t>Human Resource Security</w:t>
            </w:r>
          </w:p>
        </w:tc>
        <w:tc>
          <w:tcPr>
            <w:tcW w:w="1795" w:type="dxa"/>
            <w:tcBorders>
              <w:top w:val="nil"/>
              <w:left w:val="nil"/>
              <w:bottom w:val="single" w:sz="4" w:space="0" w:color="auto"/>
              <w:right w:val="single" w:sz="4" w:space="0" w:color="auto"/>
            </w:tcBorders>
            <w:shd w:val="clear" w:color="auto" w:fill="auto"/>
            <w:hideMark/>
          </w:tcPr>
          <w:p w14:paraId="5699802F" w14:textId="77777777" w:rsidR="00194C32" w:rsidRPr="00CC7E97" w:rsidRDefault="00194C32" w:rsidP="00194C32">
            <w:pPr>
              <w:pStyle w:val="TLTBodyText"/>
              <w:rPr>
                <w:color w:val="000000"/>
              </w:rPr>
            </w:pPr>
            <w:r w:rsidRPr="00CC7E97">
              <w:rPr>
                <w:color w:val="000000"/>
              </w:rPr>
              <w:t>Vetting and Clearance</w:t>
            </w:r>
          </w:p>
        </w:tc>
        <w:tc>
          <w:tcPr>
            <w:tcW w:w="1550" w:type="dxa"/>
            <w:tcBorders>
              <w:top w:val="nil"/>
              <w:left w:val="nil"/>
              <w:bottom w:val="single" w:sz="4" w:space="0" w:color="auto"/>
              <w:right w:val="single" w:sz="4" w:space="0" w:color="auto"/>
            </w:tcBorders>
            <w:shd w:val="clear" w:color="auto" w:fill="auto"/>
            <w:hideMark/>
          </w:tcPr>
          <w:p w14:paraId="59D75F4B"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366FA061"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736884CC"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0BBB84F7"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33E8BF23" w14:textId="77777777" w:rsidR="00194C32" w:rsidRPr="00CC7E97" w:rsidRDefault="00194C32" w:rsidP="00194C32">
            <w:pPr>
              <w:pStyle w:val="TLTBodyText"/>
            </w:pPr>
            <w:r w:rsidRPr="00CC7E97">
              <w:t xml:space="preserve">The supplier must perform appropriate checks on all personnel involved in the design, </w:t>
            </w:r>
            <w:proofErr w:type="gramStart"/>
            <w:r w:rsidRPr="00CC7E97">
              <w:t>delivery</w:t>
            </w:r>
            <w:proofErr w:type="gramEnd"/>
            <w:r w:rsidRPr="00CC7E97">
              <w:t xml:space="preserve"> and operation of the solution (pre-employment, during employment, termination and change of employment) in order to ensure the security of HMCTS information assets and the safety of staff and individuals within HMCTS</w:t>
            </w:r>
            <w:r w:rsidR="004906B4" w:rsidRPr="00CC7E97">
              <w:t xml:space="preserve">.  </w:t>
            </w:r>
            <w:r w:rsidRPr="00CC7E97">
              <w:t xml:space="preserve">At a minimum, personnel must successfully complete Baseline </w:t>
            </w:r>
            <w:r w:rsidRPr="00CC7E97">
              <w:lastRenderedPageBreak/>
              <w:t>Personnel Security Standard (BPSS)(or equivalent) pre-employment screening before being granted access to HMCTS information assets (</w:t>
            </w:r>
            <w:hyperlink r:id="rId7" w:history="1">
              <w:r w:rsidR="00571AD5" w:rsidRPr="00B4556A">
                <w:rPr>
                  <w:rStyle w:val="Hyperlink"/>
                </w:rPr>
                <w:t>https://www.gov.uk/government/publications/government-baseline-personnel-security-standard</w:t>
              </w:r>
            </w:hyperlink>
            <w:r w:rsidRPr="00CC7E97">
              <w:t>).</w:t>
            </w:r>
          </w:p>
        </w:tc>
      </w:tr>
      <w:tr w:rsidR="00194C32" w:rsidRPr="00CC7E97" w14:paraId="67ED74DD"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389E2167" w14:textId="77777777" w:rsidR="00194C32" w:rsidRPr="00CC7E97" w:rsidRDefault="00194C32" w:rsidP="00194C32">
            <w:pPr>
              <w:pStyle w:val="TLTBodyText"/>
            </w:pPr>
            <w:r w:rsidRPr="00CC7E97">
              <w:lastRenderedPageBreak/>
              <w:t>SEC-03-002</w:t>
            </w:r>
          </w:p>
        </w:tc>
        <w:tc>
          <w:tcPr>
            <w:tcW w:w="1995" w:type="dxa"/>
            <w:tcBorders>
              <w:top w:val="nil"/>
              <w:left w:val="nil"/>
              <w:bottom w:val="single" w:sz="4" w:space="0" w:color="auto"/>
              <w:right w:val="single" w:sz="4" w:space="0" w:color="auto"/>
            </w:tcBorders>
            <w:shd w:val="clear" w:color="auto" w:fill="auto"/>
            <w:hideMark/>
          </w:tcPr>
          <w:p w14:paraId="25745193" w14:textId="77777777" w:rsidR="00194C32" w:rsidRPr="00CC7E97" w:rsidRDefault="00194C32" w:rsidP="00194C32">
            <w:pPr>
              <w:pStyle w:val="TLTBodyText"/>
              <w:rPr>
                <w:color w:val="000000"/>
              </w:rPr>
            </w:pPr>
            <w:r w:rsidRPr="00CC7E97">
              <w:rPr>
                <w:color w:val="000000"/>
              </w:rPr>
              <w:t>Human Resource Security</w:t>
            </w:r>
          </w:p>
        </w:tc>
        <w:tc>
          <w:tcPr>
            <w:tcW w:w="1795" w:type="dxa"/>
            <w:tcBorders>
              <w:top w:val="nil"/>
              <w:left w:val="nil"/>
              <w:bottom w:val="single" w:sz="4" w:space="0" w:color="auto"/>
              <w:right w:val="single" w:sz="4" w:space="0" w:color="auto"/>
            </w:tcBorders>
            <w:shd w:val="clear" w:color="auto" w:fill="auto"/>
            <w:hideMark/>
          </w:tcPr>
          <w:p w14:paraId="7A6A471F" w14:textId="77777777" w:rsidR="00194C32" w:rsidRPr="00CC7E97" w:rsidRDefault="00194C32" w:rsidP="00194C32">
            <w:pPr>
              <w:pStyle w:val="TLTBodyText"/>
              <w:rPr>
                <w:color w:val="000000"/>
              </w:rPr>
            </w:pPr>
            <w:r w:rsidRPr="00CC7E97">
              <w:rPr>
                <w:color w:val="000000"/>
              </w:rPr>
              <w:t>Vetting and Clearance</w:t>
            </w:r>
          </w:p>
        </w:tc>
        <w:tc>
          <w:tcPr>
            <w:tcW w:w="1550" w:type="dxa"/>
            <w:tcBorders>
              <w:top w:val="nil"/>
              <w:left w:val="nil"/>
              <w:bottom w:val="single" w:sz="4" w:space="0" w:color="auto"/>
              <w:right w:val="single" w:sz="4" w:space="0" w:color="auto"/>
            </w:tcBorders>
            <w:shd w:val="clear" w:color="auto" w:fill="auto"/>
            <w:hideMark/>
          </w:tcPr>
          <w:p w14:paraId="5A375E7B"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19307605"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732C4F6B"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05EF9F28"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54B96891" w14:textId="77777777" w:rsidR="00194C32" w:rsidRPr="00CC7E97" w:rsidRDefault="00194C32" w:rsidP="00194C32">
            <w:pPr>
              <w:pStyle w:val="TLTBodyText"/>
            </w:pPr>
            <w:r w:rsidRPr="00CC7E97">
              <w:t xml:space="preserve">The supplier must ensure all personnel (and those within the supply chain) hold the relevant vetting and clearance in accordance with the </w:t>
            </w:r>
            <w:r w:rsidRPr="00CC7E97">
              <w:rPr>
                <w:b/>
                <w:bCs/>
              </w:rPr>
              <w:t>HMCTS Vetting and Clearance Policy</w:t>
            </w:r>
            <w:r w:rsidRPr="00CC7E97">
              <w:t xml:space="preserve"> as shared</w:t>
            </w:r>
            <w:r w:rsidR="004906B4" w:rsidRPr="00CC7E97">
              <w:t xml:space="preserve">.  </w:t>
            </w:r>
            <w:r w:rsidRPr="00CC7E97">
              <w:t>The HMCTS SIRO must approve any departure from this</w:t>
            </w:r>
            <w:r w:rsidR="004906B4" w:rsidRPr="00CC7E97">
              <w:t xml:space="preserve">.  </w:t>
            </w:r>
            <w:r w:rsidRPr="00CC7E97">
              <w:t>At a minimum, all personnel with access to (1) bulk personal data or administrative privileges will require Security Check (SC) clearance (2) Home Office or Policing systems will require Non-Police Personnel Vetting (NPPV) Clearance.</w:t>
            </w:r>
          </w:p>
        </w:tc>
      </w:tr>
      <w:tr w:rsidR="00194C32" w:rsidRPr="00CC7E97" w14:paraId="22A977A4"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1BA93B99" w14:textId="77777777" w:rsidR="00194C32" w:rsidRPr="00CC7E97" w:rsidRDefault="00194C32" w:rsidP="00194C32">
            <w:pPr>
              <w:pStyle w:val="TLTBodyText"/>
            </w:pPr>
            <w:r w:rsidRPr="00CC7E97">
              <w:t>SEC-03-003</w:t>
            </w:r>
          </w:p>
        </w:tc>
        <w:tc>
          <w:tcPr>
            <w:tcW w:w="1995" w:type="dxa"/>
            <w:tcBorders>
              <w:top w:val="nil"/>
              <w:left w:val="nil"/>
              <w:bottom w:val="single" w:sz="4" w:space="0" w:color="auto"/>
              <w:right w:val="single" w:sz="4" w:space="0" w:color="auto"/>
            </w:tcBorders>
            <w:shd w:val="clear" w:color="auto" w:fill="auto"/>
            <w:hideMark/>
          </w:tcPr>
          <w:p w14:paraId="466012FB" w14:textId="77777777" w:rsidR="00194C32" w:rsidRPr="00CC7E97" w:rsidRDefault="00194C32" w:rsidP="00194C32">
            <w:pPr>
              <w:pStyle w:val="TLTBodyText"/>
              <w:rPr>
                <w:color w:val="000000"/>
              </w:rPr>
            </w:pPr>
            <w:r w:rsidRPr="00CC7E97">
              <w:rPr>
                <w:color w:val="000000"/>
              </w:rPr>
              <w:t>Human Resource Security</w:t>
            </w:r>
          </w:p>
        </w:tc>
        <w:tc>
          <w:tcPr>
            <w:tcW w:w="1795" w:type="dxa"/>
            <w:tcBorders>
              <w:top w:val="nil"/>
              <w:left w:val="nil"/>
              <w:bottom w:val="single" w:sz="4" w:space="0" w:color="auto"/>
              <w:right w:val="single" w:sz="4" w:space="0" w:color="auto"/>
            </w:tcBorders>
            <w:shd w:val="clear" w:color="auto" w:fill="auto"/>
            <w:hideMark/>
          </w:tcPr>
          <w:p w14:paraId="6EC4FC13" w14:textId="77777777" w:rsidR="00194C32" w:rsidRPr="00CC7E97" w:rsidRDefault="00194C32" w:rsidP="00194C32">
            <w:pPr>
              <w:pStyle w:val="TLTBodyText"/>
              <w:rPr>
                <w:color w:val="000000"/>
              </w:rPr>
            </w:pPr>
            <w:r w:rsidRPr="00CC7E97">
              <w:rPr>
                <w:color w:val="000000"/>
              </w:rPr>
              <w:t>Location</w:t>
            </w:r>
          </w:p>
        </w:tc>
        <w:tc>
          <w:tcPr>
            <w:tcW w:w="1550" w:type="dxa"/>
            <w:tcBorders>
              <w:top w:val="nil"/>
              <w:left w:val="nil"/>
              <w:bottom w:val="single" w:sz="4" w:space="0" w:color="auto"/>
              <w:right w:val="single" w:sz="4" w:space="0" w:color="auto"/>
            </w:tcBorders>
            <w:shd w:val="clear" w:color="auto" w:fill="auto"/>
            <w:hideMark/>
          </w:tcPr>
          <w:p w14:paraId="16075D64"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33967BCD"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2F184356"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0DC083E"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24350FBC" w14:textId="77777777" w:rsidR="00194C32" w:rsidRPr="00CC7E97" w:rsidRDefault="00194C32" w:rsidP="00194C32">
            <w:pPr>
              <w:pStyle w:val="TLTBodyText"/>
            </w:pPr>
            <w:r w:rsidRPr="00CC7E97">
              <w:t>The supplier must ensure all personnel (and those within the supply chain) are based in the United Kingdom (UK)</w:t>
            </w:r>
            <w:r w:rsidR="004906B4" w:rsidRPr="00CC7E97">
              <w:t xml:space="preserve">.  </w:t>
            </w:r>
            <w:r w:rsidRPr="00CC7E97">
              <w:t>The HMCTS SIRO must approve any departure from this.</w:t>
            </w:r>
          </w:p>
        </w:tc>
      </w:tr>
      <w:tr w:rsidR="00194C32" w:rsidRPr="00CC7E97" w14:paraId="35A99305"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5A5F87F9" w14:textId="77777777" w:rsidR="00194C32" w:rsidRPr="00CC7E97" w:rsidRDefault="00194C32" w:rsidP="00194C32">
            <w:pPr>
              <w:pStyle w:val="TLTBodyText"/>
            </w:pPr>
            <w:r w:rsidRPr="00CC7E97">
              <w:t>SEC-03-004</w:t>
            </w:r>
          </w:p>
        </w:tc>
        <w:tc>
          <w:tcPr>
            <w:tcW w:w="1995" w:type="dxa"/>
            <w:tcBorders>
              <w:top w:val="nil"/>
              <w:left w:val="nil"/>
              <w:bottom w:val="single" w:sz="4" w:space="0" w:color="auto"/>
              <w:right w:val="single" w:sz="4" w:space="0" w:color="auto"/>
            </w:tcBorders>
            <w:shd w:val="clear" w:color="auto" w:fill="auto"/>
            <w:hideMark/>
          </w:tcPr>
          <w:p w14:paraId="1DF03A8B" w14:textId="77777777" w:rsidR="00194C32" w:rsidRPr="00CC7E97" w:rsidRDefault="00194C32" w:rsidP="00194C32">
            <w:pPr>
              <w:pStyle w:val="TLTBodyText"/>
              <w:rPr>
                <w:color w:val="000000"/>
              </w:rPr>
            </w:pPr>
            <w:r w:rsidRPr="00CC7E97">
              <w:rPr>
                <w:color w:val="000000"/>
              </w:rPr>
              <w:t>Human Resource Security</w:t>
            </w:r>
          </w:p>
        </w:tc>
        <w:tc>
          <w:tcPr>
            <w:tcW w:w="1795" w:type="dxa"/>
            <w:tcBorders>
              <w:top w:val="nil"/>
              <w:left w:val="nil"/>
              <w:bottom w:val="single" w:sz="4" w:space="0" w:color="auto"/>
              <w:right w:val="single" w:sz="4" w:space="0" w:color="auto"/>
            </w:tcBorders>
            <w:shd w:val="clear" w:color="auto" w:fill="auto"/>
            <w:hideMark/>
          </w:tcPr>
          <w:p w14:paraId="2402AD3B" w14:textId="77777777" w:rsidR="00194C32" w:rsidRPr="00CC7E97" w:rsidRDefault="00194C32" w:rsidP="00194C32">
            <w:pPr>
              <w:pStyle w:val="TLTBodyText"/>
              <w:rPr>
                <w:color w:val="000000"/>
              </w:rPr>
            </w:pPr>
            <w:r w:rsidRPr="00CC7E97">
              <w:rPr>
                <w:color w:val="000000"/>
              </w:rPr>
              <w:t>Training &amp; Awareness</w:t>
            </w:r>
          </w:p>
        </w:tc>
        <w:tc>
          <w:tcPr>
            <w:tcW w:w="1550" w:type="dxa"/>
            <w:tcBorders>
              <w:top w:val="nil"/>
              <w:left w:val="nil"/>
              <w:bottom w:val="single" w:sz="4" w:space="0" w:color="auto"/>
              <w:right w:val="single" w:sz="4" w:space="0" w:color="auto"/>
            </w:tcBorders>
            <w:shd w:val="clear" w:color="auto" w:fill="auto"/>
            <w:hideMark/>
          </w:tcPr>
          <w:p w14:paraId="15BC75E5"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7A039446"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765C4992"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D7F67E4"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2BC1676D" w14:textId="77777777" w:rsidR="00194C32" w:rsidRPr="00CC7E97" w:rsidRDefault="00194C32" w:rsidP="00194C32">
            <w:pPr>
              <w:pStyle w:val="TLTBodyText"/>
            </w:pPr>
            <w:r w:rsidRPr="00CC7E97">
              <w:t>The supplier must ensure that all supplier and sub-contractor staff who have access to personal data, including staff in their supply chain if appropriate, undergo a session of data protection and information risk awareness training on induction and annually thereafter.</w:t>
            </w:r>
          </w:p>
        </w:tc>
      </w:tr>
      <w:tr w:rsidR="00194C32" w:rsidRPr="00CC7E97" w14:paraId="6890A963"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4579F92A" w14:textId="77777777" w:rsidR="00194C32" w:rsidRPr="00CC7E97" w:rsidRDefault="00194C32" w:rsidP="00194C32">
            <w:pPr>
              <w:pStyle w:val="TLTBodyText"/>
            </w:pPr>
            <w:r w:rsidRPr="00CC7E97">
              <w:t>SEC-04-001</w:t>
            </w:r>
          </w:p>
        </w:tc>
        <w:tc>
          <w:tcPr>
            <w:tcW w:w="1995" w:type="dxa"/>
            <w:tcBorders>
              <w:top w:val="nil"/>
              <w:left w:val="nil"/>
              <w:bottom w:val="single" w:sz="4" w:space="0" w:color="auto"/>
              <w:right w:val="single" w:sz="4" w:space="0" w:color="auto"/>
            </w:tcBorders>
            <w:shd w:val="clear" w:color="auto" w:fill="auto"/>
            <w:hideMark/>
          </w:tcPr>
          <w:p w14:paraId="73588BA2" w14:textId="77777777" w:rsidR="00194C32" w:rsidRPr="00CC7E97" w:rsidRDefault="00194C32" w:rsidP="00194C32">
            <w:pPr>
              <w:pStyle w:val="TLTBodyText"/>
              <w:rPr>
                <w:color w:val="000000"/>
              </w:rPr>
            </w:pPr>
            <w:r w:rsidRPr="00CC7E97">
              <w:rPr>
                <w:color w:val="000000"/>
              </w:rPr>
              <w:t>Asset Management</w:t>
            </w:r>
          </w:p>
        </w:tc>
        <w:tc>
          <w:tcPr>
            <w:tcW w:w="1795" w:type="dxa"/>
            <w:tcBorders>
              <w:top w:val="nil"/>
              <w:left w:val="nil"/>
              <w:bottom w:val="single" w:sz="4" w:space="0" w:color="auto"/>
              <w:right w:val="single" w:sz="4" w:space="0" w:color="auto"/>
            </w:tcBorders>
            <w:shd w:val="clear" w:color="auto" w:fill="auto"/>
            <w:hideMark/>
          </w:tcPr>
          <w:p w14:paraId="26F1BBB7" w14:textId="77777777" w:rsidR="00194C32" w:rsidRPr="00CC7E97" w:rsidRDefault="00194C32" w:rsidP="00194C32">
            <w:pPr>
              <w:pStyle w:val="TLTBodyText"/>
              <w:rPr>
                <w:color w:val="000000"/>
              </w:rPr>
            </w:pPr>
            <w:r w:rsidRPr="00CC7E97">
              <w:rPr>
                <w:color w:val="000000"/>
              </w:rPr>
              <w:t>Inventory</w:t>
            </w:r>
          </w:p>
        </w:tc>
        <w:tc>
          <w:tcPr>
            <w:tcW w:w="1550" w:type="dxa"/>
            <w:tcBorders>
              <w:top w:val="nil"/>
              <w:left w:val="nil"/>
              <w:bottom w:val="single" w:sz="4" w:space="0" w:color="auto"/>
              <w:right w:val="single" w:sz="4" w:space="0" w:color="auto"/>
            </w:tcBorders>
            <w:shd w:val="clear" w:color="auto" w:fill="auto"/>
            <w:hideMark/>
          </w:tcPr>
          <w:p w14:paraId="22BB2AAF"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01612ED4"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084E37C9"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3BBED969"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23A769C0" w14:textId="77777777" w:rsidR="00194C32" w:rsidRPr="00CC7E97" w:rsidRDefault="00194C32" w:rsidP="00194C32">
            <w:pPr>
              <w:pStyle w:val="TLTBodyText"/>
            </w:pPr>
            <w:r w:rsidRPr="00CC7E97">
              <w:t xml:space="preserve">The supplier should produce and maintain an accurate inventory of information, system, hardware </w:t>
            </w:r>
            <w:r w:rsidRPr="00CC7E97">
              <w:lastRenderedPageBreak/>
              <w:t>(where applicable) and software assets used to deliver the service.</w:t>
            </w:r>
          </w:p>
        </w:tc>
      </w:tr>
      <w:tr w:rsidR="00194C32" w:rsidRPr="00CC7E97" w14:paraId="5B9CE9B4"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10BF357A" w14:textId="77777777" w:rsidR="00194C32" w:rsidRPr="00CC7E97" w:rsidRDefault="00194C32" w:rsidP="00194C32">
            <w:pPr>
              <w:pStyle w:val="TLTBodyText"/>
            </w:pPr>
            <w:r w:rsidRPr="00CC7E97">
              <w:lastRenderedPageBreak/>
              <w:t>SEC-04-002</w:t>
            </w:r>
          </w:p>
        </w:tc>
        <w:tc>
          <w:tcPr>
            <w:tcW w:w="1995" w:type="dxa"/>
            <w:tcBorders>
              <w:top w:val="nil"/>
              <w:left w:val="nil"/>
              <w:bottom w:val="single" w:sz="4" w:space="0" w:color="auto"/>
              <w:right w:val="single" w:sz="4" w:space="0" w:color="auto"/>
            </w:tcBorders>
            <w:shd w:val="clear" w:color="auto" w:fill="auto"/>
            <w:hideMark/>
          </w:tcPr>
          <w:p w14:paraId="12733C20" w14:textId="77777777" w:rsidR="00194C32" w:rsidRPr="00CC7E97" w:rsidRDefault="00194C32" w:rsidP="00194C32">
            <w:pPr>
              <w:pStyle w:val="TLTBodyText"/>
              <w:rPr>
                <w:color w:val="000000"/>
              </w:rPr>
            </w:pPr>
            <w:r w:rsidRPr="00CC7E97">
              <w:rPr>
                <w:color w:val="000000"/>
              </w:rPr>
              <w:t>Asset Management</w:t>
            </w:r>
          </w:p>
        </w:tc>
        <w:tc>
          <w:tcPr>
            <w:tcW w:w="1795" w:type="dxa"/>
            <w:tcBorders>
              <w:top w:val="nil"/>
              <w:left w:val="nil"/>
              <w:bottom w:val="single" w:sz="4" w:space="0" w:color="auto"/>
              <w:right w:val="single" w:sz="4" w:space="0" w:color="auto"/>
            </w:tcBorders>
            <w:shd w:val="clear" w:color="auto" w:fill="auto"/>
            <w:hideMark/>
          </w:tcPr>
          <w:p w14:paraId="69D650F1" w14:textId="77777777" w:rsidR="00194C32" w:rsidRPr="00CC7E97" w:rsidRDefault="00194C32" w:rsidP="00194C32">
            <w:pPr>
              <w:pStyle w:val="TLTBodyText"/>
              <w:rPr>
                <w:color w:val="000000"/>
              </w:rPr>
            </w:pPr>
            <w:r w:rsidRPr="00CC7E97">
              <w:rPr>
                <w:color w:val="000000"/>
              </w:rPr>
              <w:t>Data Classification</w:t>
            </w:r>
          </w:p>
        </w:tc>
        <w:tc>
          <w:tcPr>
            <w:tcW w:w="1550" w:type="dxa"/>
            <w:tcBorders>
              <w:top w:val="nil"/>
              <w:left w:val="nil"/>
              <w:bottom w:val="single" w:sz="4" w:space="0" w:color="auto"/>
              <w:right w:val="single" w:sz="4" w:space="0" w:color="auto"/>
            </w:tcBorders>
            <w:shd w:val="clear" w:color="auto" w:fill="auto"/>
            <w:hideMark/>
          </w:tcPr>
          <w:p w14:paraId="5DEC2C07"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4861F9C2"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71B772EC"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25C0B3B5"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000000" w:fill="FFFFFF"/>
            <w:hideMark/>
          </w:tcPr>
          <w:p w14:paraId="6CBAF6DA" w14:textId="77777777" w:rsidR="00194C32" w:rsidRPr="00CC7E97" w:rsidRDefault="00194C32" w:rsidP="00194C32">
            <w:pPr>
              <w:pStyle w:val="TLTBodyText"/>
            </w:pPr>
            <w:r w:rsidRPr="00CC7E97">
              <w:t>The supplier must implement measures to secure the physical handling, use, storage, transport and disposal of HMCTS information assets (whether in paper or electronic form) in accordance with the Government Security Classification Policy (</w:t>
            </w:r>
            <w:hyperlink r:id="rId8" w:history="1">
              <w:r w:rsidR="00571AD5" w:rsidRPr="00B4556A">
                <w:rPr>
                  <w:rStyle w:val="Hyperlink"/>
                </w:rPr>
                <w:t>https://www.gov.uk/government/publications/government-security-classifications</w:t>
              </w:r>
            </w:hyperlink>
            <w:r w:rsidRPr="00CC7E97">
              <w:t>) and SMP.</w:t>
            </w:r>
          </w:p>
        </w:tc>
      </w:tr>
      <w:tr w:rsidR="00194C32" w:rsidRPr="00CC7E97" w14:paraId="597FA107"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DBE766F" w14:textId="77777777" w:rsidR="00194C32" w:rsidRPr="00CC7E97" w:rsidRDefault="00194C32" w:rsidP="00194C32">
            <w:pPr>
              <w:pStyle w:val="TLTBodyText"/>
            </w:pPr>
            <w:r w:rsidRPr="00CC7E97">
              <w:t>SEC-04-003</w:t>
            </w:r>
          </w:p>
        </w:tc>
        <w:tc>
          <w:tcPr>
            <w:tcW w:w="1995" w:type="dxa"/>
            <w:tcBorders>
              <w:top w:val="nil"/>
              <w:left w:val="nil"/>
              <w:bottom w:val="single" w:sz="4" w:space="0" w:color="auto"/>
              <w:right w:val="single" w:sz="4" w:space="0" w:color="auto"/>
            </w:tcBorders>
            <w:shd w:val="clear" w:color="auto" w:fill="auto"/>
            <w:hideMark/>
          </w:tcPr>
          <w:p w14:paraId="7ED24435" w14:textId="77777777" w:rsidR="00194C32" w:rsidRPr="00CC7E97" w:rsidRDefault="00194C32" w:rsidP="00194C32">
            <w:pPr>
              <w:pStyle w:val="TLTBodyText"/>
              <w:rPr>
                <w:color w:val="000000"/>
              </w:rPr>
            </w:pPr>
            <w:r w:rsidRPr="00CC7E97">
              <w:rPr>
                <w:color w:val="000000"/>
              </w:rPr>
              <w:t>Asset Management</w:t>
            </w:r>
          </w:p>
        </w:tc>
        <w:tc>
          <w:tcPr>
            <w:tcW w:w="1795" w:type="dxa"/>
            <w:tcBorders>
              <w:top w:val="nil"/>
              <w:left w:val="nil"/>
              <w:bottom w:val="single" w:sz="4" w:space="0" w:color="auto"/>
              <w:right w:val="single" w:sz="4" w:space="0" w:color="auto"/>
            </w:tcBorders>
            <w:shd w:val="clear" w:color="auto" w:fill="auto"/>
            <w:hideMark/>
          </w:tcPr>
          <w:p w14:paraId="638F94D2" w14:textId="77777777" w:rsidR="00194C32" w:rsidRPr="00CC7E97" w:rsidRDefault="00194C32" w:rsidP="00194C32">
            <w:pPr>
              <w:pStyle w:val="TLTBodyText"/>
              <w:rPr>
                <w:color w:val="000000"/>
              </w:rPr>
            </w:pPr>
            <w:r w:rsidRPr="00CC7E97">
              <w:rPr>
                <w:color w:val="000000"/>
              </w:rPr>
              <w:t>Decommissioning</w:t>
            </w:r>
          </w:p>
        </w:tc>
        <w:tc>
          <w:tcPr>
            <w:tcW w:w="1550" w:type="dxa"/>
            <w:tcBorders>
              <w:top w:val="nil"/>
              <w:left w:val="nil"/>
              <w:bottom w:val="single" w:sz="4" w:space="0" w:color="auto"/>
              <w:right w:val="single" w:sz="4" w:space="0" w:color="auto"/>
            </w:tcBorders>
            <w:shd w:val="clear" w:color="auto" w:fill="auto"/>
            <w:hideMark/>
          </w:tcPr>
          <w:p w14:paraId="164D27F7"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2902E2E2"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EC6BBC2"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91E0280"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6F52E09C" w14:textId="77777777" w:rsidR="00194C32" w:rsidRPr="00CC7E97" w:rsidRDefault="00194C32" w:rsidP="00194C32">
            <w:pPr>
              <w:pStyle w:val="TLTBodyText"/>
              <w:rPr>
                <w:rFonts w:cs="Arial"/>
              </w:rPr>
            </w:pPr>
            <w:r w:rsidRPr="00CC7E97">
              <w:rPr>
                <w:rFonts w:cs="Arial"/>
                <w:color w:val="000000" w:themeColor="text1"/>
              </w:rPr>
              <w:t>The supplier must decommission, dispose, sanitise or destruct infrastructure and data in accordance with  National Cyber Security Centre (NCSC) guidance (</w:t>
            </w:r>
            <w:hyperlink r:id="rId9" w:history="1">
              <w:r w:rsidR="00571AD5" w:rsidRPr="00B4556A">
                <w:rPr>
                  <w:rStyle w:val="Hyperlink"/>
                </w:rPr>
                <w:t>https://www.ncsc.gov.uk/guidance/secure-sanitisation-storage-media</w:t>
              </w:r>
            </w:hyperlink>
            <w:r w:rsidRPr="00CC7E97">
              <w:rPr>
                <w:rFonts w:cs="Arial"/>
                <w:color w:val="000000" w:themeColor="text1"/>
              </w:rPr>
              <w:t>)</w:t>
            </w:r>
            <w:r w:rsidR="004906B4" w:rsidRPr="00CC7E97">
              <w:rPr>
                <w:rFonts w:cs="Arial"/>
                <w:color w:val="000000" w:themeColor="text1"/>
              </w:rPr>
              <w:t xml:space="preserve">.  </w:t>
            </w:r>
            <w:r w:rsidRPr="00CC7E97">
              <w:rPr>
                <w:rFonts w:cs="Arial"/>
                <w:color w:val="000000" w:themeColor="text1"/>
              </w:rPr>
              <w:t xml:space="preserve">At a minimum, the supplier must (1) provide a decommissioning approach document, at least 3 months ahead of the first planned decommissioning activity, detailing the decommissioning and disposal methodology for approval by HMCTS (2) provide written confirmation to HMCTS on the completion of any decommissioning, disposal, </w:t>
            </w:r>
            <w:proofErr w:type="gramStart"/>
            <w:r w:rsidRPr="00CC7E97">
              <w:rPr>
                <w:rFonts w:cs="Arial"/>
                <w:color w:val="000000" w:themeColor="text1"/>
              </w:rPr>
              <w:t>sanitisation</w:t>
            </w:r>
            <w:proofErr w:type="gramEnd"/>
            <w:r w:rsidRPr="00CC7E97">
              <w:rPr>
                <w:rFonts w:cs="Arial"/>
                <w:color w:val="000000" w:themeColor="text1"/>
              </w:rPr>
              <w:t xml:space="preserve"> or destruction of assets</w:t>
            </w:r>
            <w:r w:rsidR="004906B4" w:rsidRPr="00CC7E97">
              <w:rPr>
                <w:rFonts w:cs="Arial"/>
                <w:color w:val="000000" w:themeColor="text1"/>
              </w:rPr>
              <w:t xml:space="preserve">.  </w:t>
            </w:r>
          </w:p>
        </w:tc>
      </w:tr>
      <w:tr w:rsidR="00194C32" w:rsidRPr="00CC7E97" w14:paraId="3677D799"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10517A2A" w14:textId="77777777" w:rsidR="00194C32" w:rsidRPr="00CC7E97" w:rsidRDefault="00194C32" w:rsidP="00194C32">
            <w:pPr>
              <w:pStyle w:val="TLTBodyText"/>
            </w:pPr>
            <w:r w:rsidRPr="00CC7E97">
              <w:t>SEC-05-001</w:t>
            </w:r>
          </w:p>
        </w:tc>
        <w:tc>
          <w:tcPr>
            <w:tcW w:w="1995" w:type="dxa"/>
            <w:tcBorders>
              <w:top w:val="nil"/>
              <w:left w:val="nil"/>
              <w:bottom w:val="single" w:sz="4" w:space="0" w:color="auto"/>
              <w:right w:val="single" w:sz="4" w:space="0" w:color="auto"/>
            </w:tcBorders>
            <w:shd w:val="clear" w:color="auto" w:fill="auto"/>
            <w:hideMark/>
          </w:tcPr>
          <w:p w14:paraId="20C850F6" w14:textId="77777777" w:rsidR="00194C32" w:rsidRPr="00CC7E97" w:rsidRDefault="00194C32" w:rsidP="00194C32">
            <w:pPr>
              <w:pStyle w:val="TLTBodyText"/>
              <w:rPr>
                <w:color w:val="000000"/>
              </w:rPr>
            </w:pPr>
            <w:r w:rsidRPr="00CC7E97">
              <w:rPr>
                <w:color w:val="000000"/>
              </w:rPr>
              <w:t>Access Control</w:t>
            </w:r>
          </w:p>
        </w:tc>
        <w:tc>
          <w:tcPr>
            <w:tcW w:w="1795" w:type="dxa"/>
            <w:tcBorders>
              <w:top w:val="nil"/>
              <w:left w:val="nil"/>
              <w:bottom w:val="single" w:sz="4" w:space="0" w:color="auto"/>
              <w:right w:val="single" w:sz="4" w:space="0" w:color="auto"/>
            </w:tcBorders>
            <w:shd w:val="clear" w:color="auto" w:fill="auto"/>
            <w:hideMark/>
          </w:tcPr>
          <w:p w14:paraId="3FD6AD95" w14:textId="77777777" w:rsidR="00194C32" w:rsidRPr="00CC7E97" w:rsidRDefault="00194C32" w:rsidP="00194C32">
            <w:pPr>
              <w:pStyle w:val="TLTBodyText"/>
              <w:rPr>
                <w:color w:val="000000"/>
              </w:rPr>
            </w:pPr>
            <w:r w:rsidRPr="00CC7E97">
              <w:rPr>
                <w:color w:val="000000"/>
              </w:rPr>
              <w:t>Authentication</w:t>
            </w:r>
          </w:p>
        </w:tc>
        <w:tc>
          <w:tcPr>
            <w:tcW w:w="1550" w:type="dxa"/>
            <w:tcBorders>
              <w:top w:val="nil"/>
              <w:left w:val="nil"/>
              <w:bottom w:val="single" w:sz="4" w:space="0" w:color="auto"/>
              <w:right w:val="single" w:sz="4" w:space="0" w:color="auto"/>
            </w:tcBorders>
            <w:shd w:val="clear" w:color="auto" w:fill="auto"/>
            <w:hideMark/>
          </w:tcPr>
          <w:p w14:paraId="29CDFA28"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5E029FE1"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25BC624B"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7138BC5"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53E5EB11" w14:textId="77777777" w:rsidR="00194C32" w:rsidRPr="00CC7E97" w:rsidRDefault="00194C32" w:rsidP="00194C32">
            <w:pPr>
              <w:pStyle w:val="TLTBodyText"/>
              <w:rPr>
                <w:rFonts w:cs="Arial"/>
                <w:color w:val="000000"/>
              </w:rPr>
            </w:pPr>
            <w:r w:rsidRPr="00CC7E97">
              <w:rPr>
                <w:rFonts w:cs="Arial"/>
                <w:color w:val="000000"/>
              </w:rPr>
              <w:t>The solution must implement secure authentication and authorisation mechanisms to reduce the likelihood of unauthorised access to the solution</w:t>
            </w:r>
            <w:r w:rsidR="004906B4" w:rsidRPr="00CC7E97">
              <w:rPr>
                <w:rFonts w:cs="Arial"/>
                <w:color w:val="000000"/>
              </w:rPr>
              <w:t xml:space="preserve">.  </w:t>
            </w:r>
            <w:r w:rsidRPr="00CC7E97">
              <w:rPr>
                <w:rFonts w:cs="Arial"/>
                <w:color w:val="000000"/>
              </w:rPr>
              <w:t>At a minimum, the solution must support (1) Single Sign-on (SSO) (2) OAuth 2.0 (3) OpenID Connect (OIDC) (3) SAML2.0 (4) LDAPS (or equivalent).</w:t>
            </w:r>
          </w:p>
        </w:tc>
      </w:tr>
      <w:tr w:rsidR="00194C32" w:rsidRPr="00CC7E97" w14:paraId="3EADFD88"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E96DC0E" w14:textId="77777777" w:rsidR="00194C32" w:rsidRPr="00CC7E97" w:rsidRDefault="00194C32" w:rsidP="00194C32">
            <w:pPr>
              <w:pStyle w:val="TLTBodyText"/>
            </w:pPr>
            <w:r w:rsidRPr="00CC7E97">
              <w:lastRenderedPageBreak/>
              <w:t>SEC-05-002</w:t>
            </w:r>
          </w:p>
        </w:tc>
        <w:tc>
          <w:tcPr>
            <w:tcW w:w="1995" w:type="dxa"/>
            <w:tcBorders>
              <w:top w:val="nil"/>
              <w:left w:val="nil"/>
              <w:bottom w:val="single" w:sz="4" w:space="0" w:color="auto"/>
              <w:right w:val="single" w:sz="4" w:space="0" w:color="auto"/>
            </w:tcBorders>
            <w:shd w:val="clear" w:color="auto" w:fill="auto"/>
            <w:hideMark/>
          </w:tcPr>
          <w:p w14:paraId="6C84C5E6" w14:textId="77777777" w:rsidR="00194C32" w:rsidRPr="00CC7E97" w:rsidRDefault="00194C32" w:rsidP="00194C32">
            <w:pPr>
              <w:pStyle w:val="TLTBodyText"/>
              <w:rPr>
                <w:color w:val="000000"/>
              </w:rPr>
            </w:pPr>
            <w:r w:rsidRPr="00CC7E97">
              <w:rPr>
                <w:color w:val="000000"/>
              </w:rPr>
              <w:t>Access Control</w:t>
            </w:r>
          </w:p>
        </w:tc>
        <w:tc>
          <w:tcPr>
            <w:tcW w:w="1795" w:type="dxa"/>
            <w:tcBorders>
              <w:top w:val="nil"/>
              <w:left w:val="nil"/>
              <w:bottom w:val="single" w:sz="4" w:space="0" w:color="auto"/>
              <w:right w:val="single" w:sz="4" w:space="0" w:color="auto"/>
            </w:tcBorders>
            <w:shd w:val="clear" w:color="auto" w:fill="auto"/>
            <w:hideMark/>
          </w:tcPr>
          <w:p w14:paraId="3CA8E6F7" w14:textId="77777777" w:rsidR="00194C32" w:rsidRPr="00CC7E97" w:rsidRDefault="00194C32" w:rsidP="00194C32">
            <w:pPr>
              <w:pStyle w:val="TLTBodyText"/>
              <w:rPr>
                <w:color w:val="000000"/>
              </w:rPr>
            </w:pPr>
            <w:r w:rsidRPr="00CC7E97">
              <w:rPr>
                <w:color w:val="000000"/>
              </w:rPr>
              <w:t>Authentication</w:t>
            </w:r>
          </w:p>
        </w:tc>
        <w:tc>
          <w:tcPr>
            <w:tcW w:w="1550" w:type="dxa"/>
            <w:tcBorders>
              <w:top w:val="nil"/>
              <w:left w:val="nil"/>
              <w:bottom w:val="single" w:sz="4" w:space="0" w:color="auto"/>
              <w:right w:val="single" w:sz="4" w:space="0" w:color="auto"/>
            </w:tcBorders>
            <w:shd w:val="clear" w:color="auto" w:fill="auto"/>
            <w:hideMark/>
          </w:tcPr>
          <w:p w14:paraId="36B1667A"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4EB51A81"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14C6ABF2"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24BF17AA"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51FBA9CD" w14:textId="77777777" w:rsidR="00194C32" w:rsidRPr="00CC7E97" w:rsidRDefault="00194C32" w:rsidP="00194C32">
            <w:pPr>
              <w:pStyle w:val="TLTBodyText"/>
              <w:rPr>
                <w:rFonts w:cs="Arial"/>
                <w:color w:val="000000"/>
              </w:rPr>
            </w:pPr>
            <w:r w:rsidRPr="00CC7E97">
              <w:rPr>
                <w:rFonts w:cs="Arial"/>
                <w:color w:val="000000"/>
              </w:rPr>
              <w:t>The solution must implement Multi-Factor Authentication (MFA)</w:t>
            </w:r>
            <w:r w:rsidR="004906B4" w:rsidRPr="00CC7E97">
              <w:rPr>
                <w:rFonts w:cs="Arial"/>
                <w:color w:val="000000"/>
              </w:rPr>
              <w:t xml:space="preserve">.  </w:t>
            </w:r>
            <w:r w:rsidRPr="00CC7E97">
              <w:rPr>
                <w:rFonts w:cs="Arial"/>
                <w:color w:val="000000"/>
              </w:rPr>
              <w:t>At a minimum, Time-based One-Time Password (TOTP) must be supported and TOTP must be considered invalid if not completed within 10 minutes</w:t>
            </w:r>
            <w:r w:rsidR="004906B4" w:rsidRPr="00CC7E97">
              <w:rPr>
                <w:rFonts w:cs="Arial"/>
                <w:color w:val="000000"/>
              </w:rPr>
              <w:t xml:space="preserve">.  </w:t>
            </w:r>
          </w:p>
        </w:tc>
      </w:tr>
      <w:tr w:rsidR="00194C32" w:rsidRPr="00CC7E97" w14:paraId="5141FD84"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33E41F00" w14:textId="77777777" w:rsidR="00194C32" w:rsidRPr="00CC7E97" w:rsidRDefault="00194C32" w:rsidP="00194C32">
            <w:pPr>
              <w:pStyle w:val="TLTBodyText"/>
            </w:pPr>
            <w:r w:rsidRPr="00CC7E97">
              <w:t>SEC-05-003</w:t>
            </w:r>
          </w:p>
        </w:tc>
        <w:tc>
          <w:tcPr>
            <w:tcW w:w="1995" w:type="dxa"/>
            <w:tcBorders>
              <w:top w:val="nil"/>
              <w:left w:val="nil"/>
              <w:bottom w:val="single" w:sz="4" w:space="0" w:color="auto"/>
              <w:right w:val="single" w:sz="4" w:space="0" w:color="auto"/>
            </w:tcBorders>
            <w:shd w:val="clear" w:color="auto" w:fill="auto"/>
            <w:hideMark/>
          </w:tcPr>
          <w:p w14:paraId="51861F9C" w14:textId="77777777" w:rsidR="00194C32" w:rsidRPr="00CC7E97" w:rsidRDefault="00194C32" w:rsidP="00194C32">
            <w:pPr>
              <w:pStyle w:val="TLTBodyText"/>
              <w:rPr>
                <w:color w:val="000000"/>
              </w:rPr>
            </w:pPr>
            <w:r w:rsidRPr="00CC7E97">
              <w:rPr>
                <w:color w:val="000000"/>
              </w:rPr>
              <w:t>Access Control</w:t>
            </w:r>
          </w:p>
        </w:tc>
        <w:tc>
          <w:tcPr>
            <w:tcW w:w="1795" w:type="dxa"/>
            <w:tcBorders>
              <w:top w:val="nil"/>
              <w:left w:val="nil"/>
              <w:bottom w:val="single" w:sz="4" w:space="0" w:color="auto"/>
              <w:right w:val="single" w:sz="4" w:space="0" w:color="auto"/>
            </w:tcBorders>
            <w:shd w:val="clear" w:color="auto" w:fill="auto"/>
            <w:hideMark/>
          </w:tcPr>
          <w:p w14:paraId="217790FF" w14:textId="77777777" w:rsidR="00194C32" w:rsidRPr="00CC7E97" w:rsidRDefault="00194C32" w:rsidP="00194C32">
            <w:pPr>
              <w:pStyle w:val="TLTBodyText"/>
              <w:rPr>
                <w:color w:val="000000"/>
              </w:rPr>
            </w:pPr>
            <w:r w:rsidRPr="00CC7E97">
              <w:rPr>
                <w:color w:val="000000"/>
              </w:rPr>
              <w:t>Authentication</w:t>
            </w:r>
          </w:p>
        </w:tc>
        <w:tc>
          <w:tcPr>
            <w:tcW w:w="1550" w:type="dxa"/>
            <w:tcBorders>
              <w:top w:val="nil"/>
              <w:left w:val="nil"/>
              <w:bottom w:val="single" w:sz="4" w:space="0" w:color="auto"/>
              <w:right w:val="single" w:sz="4" w:space="0" w:color="auto"/>
            </w:tcBorders>
            <w:shd w:val="clear" w:color="auto" w:fill="auto"/>
            <w:hideMark/>
          </w:tcPr>
          <w:p w14:paraId="03023AA4"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07905B4E"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480B7BE1"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7B9C4E94"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367F6B3E" w14:textId="77777777" w:rsidR="00194C32" w:rsidRPr="00CC7E97" w:rsidRDefault="00194C32" w:rsidP="00194C32">
            <w:pPr>
              <w:pStyle w:val="TLTBodyText"/>
            </w:pPr>
            <w:r w:rsidRPr="00CC7E97">
              <w:t>The solution must support user authentication to existing Identity and Access Management (IdAM) services used by HMCTS</w:t>
            </w:r>
            <w:r w:rsidR="004906B4" w:rsidRPr="00CC7E97">
              <w:t xml:space="preserve">.  </w:t>
            </w:r>
            <w:r w:rsidRPr="00CC7E97">
              <w:t xml:space="preserve">At a minimum, the solution must (1) support Microsoft </w:t>
            </w:r>
            <w:proofErr w:type="spellStart"/>
            <w:r w:rsidRPr="00CC7E97">
              <w:t>Entra</w:t>
            </w:r>
            <w:proofErr w:type="spellEnd"/>
            <w:r w:rsidRPr="00CC7E97">
              <w:t xml:space="preserve"> ID (formerly Azure Active Directory) (2) respond to changes to user accounts or permissions within the HMCTS IdAM, within the minimum time possible (maximum 30 minutes).</w:t>
            </w:r>
          </w:p>
        </w:tc>
      </w:tr>
      <w:tr w:rsidR="00194C32" w:rsidRPr="00CC7E97" w14:paraId="7B34A428"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6BA7A28B" w14:textId="77777777" w:rsidR="00194C32" w:rsidRPr="00CC7E97" w:rsidRDefault="00194C32" w:rsidP="00194C32">
            <w:pPr>
              <w:pStyle w:val="TLTBodyText"/>
            </w:pPr>
            <w:r w:rsidRPr="00CC7E97">
              <w:t>SEC-05-004</w:t>
            </w:r>
          </w:p>
        </w:tc>
        <w:tc>
          <w:tcPr>
            <w:tcW w:w="1995" w:type="dxa"/>
            <w:tcBorders>
              <w:top w:val="nil"/>
              <w:left w:val="nil"/>
              <w:bottom w:val="single" w:sz="4" w:space="0" w:color="auto"/>
              <w:right w:val="single" w:sz="4" w:space="0" w:color="auto"/>
            </w:tcBorders>
            <w:shd w:val="clear" w:color="auto" w:fill="auto"/>
            <w:hideMark/>
          </w:tcPr>
          <w:p w14:paraId="1913966D" w14:textId="77777777" w:rsidR="00194C32" w:rsidRPr="00CC7E97" w:rsidRDefault="00194C32" w:rsidP="00194C32">
            <w:pPr>
              <w:pStyle w:val="TLTBodyText"/>
              <w:rPr>
                <w:color w:val="000000"/>
              </w:rPr>
            </w:pPr>
            <w:r w:rsidRPr="00CC7E97">
              <w:rPr>
                <w:color w:val="000000"/>
              </w:rPr>
              <w:t>Access Control</w:t>
            </w:r>
          </w:p>
        </w:tc>
        <w:tc>
          <w:tcPr>
            <w:tcW w:w="1795" w:type="dxa"/>
            <w:tcBorders>
              <w:top w:val="nil"/>
              <w:left w:val="nil"/>
              <w:bottom w:val="single" w:sz="4" w:space="0" w:color="auto"/>
              <w:right w:val="single" w:sz="4" w:space="0" w:color="auto"/>
            </w:tcBorders>
            <w:shd w:val="clear" w:color="auto" w:fill="auto"/>
            <w:hideMark/>
          </w:tcPr>
          <w:p w14:paraId="1F7E84AE" w14:textId="77777777" w:rsidR="00194C32" w:rsidRPr="00CC7E97" w:rsidRDefault="00194C32" w:rsidP="00194C32">
            <w:pPr>
              <w:pStyle w:val="TLTBodyText"/>
              <w:rPr>
                <w:color w:val="000000"/>
              </w:rPr>
            </w:pPr>
            <w:r w:rsidRPr="00CC7E97">
              <w:rPr>
                <w:color w:val="000000"/>
              </w:rPr>
              <w:t>Authorisation</w:t>
            </w:r>
          </w:p>
        </w:tc>
        <w:tc>
          <w:tcPr>
            <w:tcW w:w="1550" w:type="dxa"/>
            <w:tcBorders>
              <w:top w:val="nil"/>
              <w:left w:val="nil"/>
              <w:bottom w:val="single" w:sz="4" w:space="0" w:color="auto"/>
              <w:right w:val="single" w:sz="4" w:space="0" w:color="auto"/>
            </w:tcBorders>
            <w:shd w:val="clear" w:color="auto" w:fill="auto"/>
            <w:hideMark/>
          </w:tcPr>
          <w:p w14:paraId="53B4B9B6"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5745654A"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1C4BB07C"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1EBE4E67"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05D29898" w14:textId="77777777" w:rsidR="00194C32" w:rsidRPr="00CC7E97" w:rsidRDefault="00194C32" w:rsidP="00194C32">
            <w:pPr>
              <w:pStyle w:val="TLTBodyText"/>
            </w:pPr>
            <w:r w:rsidRPr="00CC7E97">
              <w:t>The solution must provide the technical capability to configure a robust and granular Role Based Access Control (RBAC) model</w:t>
            </w:r>
            <w:r w:rsidR="004906B4" w:rsidRPr="00CC7E97">
              <w:t xml:space="preserve">.  </w:t>
            </w:r>
            <w:r w:rsidRPr="00CC7E97">
              <w:t>At a minimum, the solution must provide the ability to (1) manage user permissions at an individual, team and group level (2) support Just-in-Time (JIT) access (3) enforce the Principle of Least Privilege (</w:t>
            </w:r>
            <w:proofErr w:type="spellStart"/>
            <w:r w:rsidRPr="00CC7E97">
              <w:t>PoLP</w:t>
            </w:r>
            <w:proofErr w:type="spellEnd"/>
            <w:r w:rsidRPr="00CC7E97">
              <w:t>) (4) separate the request and approval stages of account creation (5) log changes to user permissions</w:t>
            </w:r>
            <w:r w:rsidR="004906B4" w:rsidRPr="00CC7E97">
              <w:t>.</w:t>
            </w:r>
          </w:p>
        </w:tc>
      </w:tr>
      <w:tr w:rsidR="00194C32" w:rsidRPr="00CC7E97" w14:paraId="498E111A"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D8A816D" w14:textId="77777777" w:rsidR="00194C32" w:rsidRPr="00CC7E97" w:rsidRDefault="00194C32" w:rsidP="00194C32">
            <w:pPr>
              <w:pStyle w:val="TLTBodyText"/>
            </w:pPr>
            <w:r w:rsidRPr="00CC7E97">
              <w:t>SEC-05-005</w:t>
            </w:r>
          </w:p>
        </w:tc>
        <w:tc>
          <w:tcPr>
            <w:tcW w:w="1995" w:type="dxa"/>
            <w:tcBorders>
              <w:top w:val="nil"/>
              <w:left w:val="nil"/>
              <w:bottom w:val="single" w:sz="4" w:space="0" w:color="auto"/>
              <w:right w:val="single" w:sz="4" w:space="0" w:color="auto"/>
            </w:tcBorders>
            <w:shd w:val="clear" w:color="auto" w:fill="auto"/>
            <w:hideMark/>
          </w:tcPr>
          <w:p w14:paraId="359405D8" w14:textId="77777777" w:rsidR="00194C32" w:rsidRPr="00CC7E97" w:rsidRDefault="00194C32" w:rsidP="00194C32">
            <w:pPr>
              <w:pStyle w:val="TLTBodyText"/>
              <w:rPr>
                <w:color w:val="000000"/>
              </w:rPr>
            </w:pPr>
            <w:r w:rsidRPr="00CC7E97">
              <w:rPr>
                <w:color w:val="000000"/>
              </w:rPr>
              <w:t>Access Control</w:t>
            </w:r>
          </w:p>
        </w:tc>
        <w:tc>
          <w:tcPr>
            <w:tcW w:w="1795" w:type="dxa"/>
            <w:tcBorders>
              <w:top w:val="nil"/>
              <w:left w:val="nil"/>
              <w:bottom w:val="single" w:sz="4" w:space="0" w:color="auto"/>
              <w:right w:val="single" w:sz="4" w:space="0" w:color="auto"/>
            </w:tcBorders>
            <w:shd w:val="clear" w:color="auto" w:fill="auto"/>
            <w:hideMark/>
          </w:tcPr>
          <w:p w14:paraId="0AB101BE" w14:textId="77777777" w:rsidR="00194C32" w:rsidRPr="00CC7E97" w:rsidRDefault="00194C32" w:rsidP="00194C32">
            <w:pPr>
              <w:pStyle w:val="TLTBodyText"/>
              <w:rPr>
                <w:color w:val="000000"/>
              </w:rPr>
            </w:pPr>
            <w:r w:rsidRPr="00CC7E97">
              <w:rPr>
                <w:color w:val="000000"/>
              </w:rPr>
              <w:t>Privileged Access</w:t>
            </w:r>
          </w:p>
        </w:tc>
        <w:tc>
          <w:tcPr>
            <w:tcW w:w="1550" w:type="dxa"/>
            <w:tcBorders>
              <w:top w:val="nil"/>
              <w:left w:val="nil"/>
              <w:bottom w:val="single" w:sz="4" w:space="0" w:color="auto"/>
              <w:right w:val="single" w:sz="4" w:space="0" w:color="auto"/>
            </w:tcBorders>
            <w:shd w:val="clear" w:color="auto" w:fill="auto"/>
            <w:hideMark/>
          </w:tcPr>
          <w:p w14:paraId="439C9A6F"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69DD67F1"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DE97DA9"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3186B8ED"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187131BE" w14:textId="77777777" w:rsidR="00194C32" w:rsidRPr="00CC7E97" w:rsidRDefault="00194C32" w:rsidP="00194C32">
            <w:pPr>
              <w:pStyle w:val="TLTBodyText"/>
            </w:pPr>
            <w:r w:rsidRPr="00CC7E97">
              <w:t>The supplier must ensure segregation of duties by privileged users of the services</w:t>
            </w:r>
            <w:r w:rsidR="004906B4" w:rsidRPr="00CC7E97">
              <w:t xml:space="preserve">.  </w:t>
            </w:r>
            <w:r w:rsidRPr="00CC7E97">
              <w:t>At a minimum this must include (1) ensuring the Principle of Least Privilege (</w:t>
            </w:r>
            <w:proofErr w:type="spellStart"/>
            <w:r w:rsidRPr="00CC7E97">
              <w:t>PoLP</w:t>
            </w:r>
            <w:proofErr w:type="spellEnd"/>
            <w:r w:rsidRPr="00CC7E97">
              <w:t xml:space="preserve">) is always applied (2) ensuring separation of request and approval for account creation (3) logging changes to user permissions (4) regularly reviewing privileged user access (5) privileged accounts are unique to each user and </w:t>
            </w:r>
            <w:r w:rsidRPr="00CC7E97">
              <w:lastRenderedPageBreak/>
              <w:t>must only be used when performing privileged actions.</w:t>
            </w:r>
          </w:p>
        </w:tc>
      </w:tr>
      <w:tr w:rsidR="00194C32" w:rsidRPr="00CC7E97" w14:paraId="5C89C1EE"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6A32EC6F" w14:textId="77777777" w:rsidR="00194C32" w:rsidRPr="00CC7E97" w:rsidRDefault="00194C32" w:rsidP="00194C32">
            <w:pPr>
              <w:pStyle w:val="TLTBodyText"/>
            </w:pPr>
            <w:r w:rsidRPr="00CC7E97">
              <w:lastRenderedPageBreak/>
              <w:t>SEC-05-006</w:t>
            </w:r>
          </w:p>
        </w:tc>
        <w:tc>
          <w:tcPr>
            <w:tcW w:w="1995" w:type="dxa"/>
            <w:tcBorders>
              <w:top w:val="nil"/>
              <w:left w:val="nil"/>
              <w:bottom w:val="single" w:sz="4" w:space="0" w:color="auto"/>
              <w:right w:val="single" w:sz="4" w:space="0" w:color="auto"/>
            </w:tcBorders>
            <w:shd w:val="clear" w:color="auto" w:fill="auto"/>
            <w:hideMark/>
          </w:tcPr>
          <w:p w14:paraId="3EA53DEF" w14:textId="77777777" w:rsidR="00194C32" w:rsidRPr="00CC7E97" w:rsidRDefault="00194C32" w:rsidP="00194C32">
            <w:pPr>
              <w:pStyle w:val="TLTBodyText"/>
              <w:rPr>
                <w:color w:val="000000"/>
              </w:rPr>
            </w:pPr>
            <w:r w:rsidRPr="00CC7E97">
              <w:rPr>
                <w:color w:val="000000"/>
              </w:rPr>
              <w:t>Access Control</w:t>
            </w:r>
          </w:p>
        </w:tc>
        <w:tc>
          <w:tcPr>
            <w:tcW w:w="1795" w:type="dxa"/>
            <w:tcBorders>
              <w:top w:val="nil"/>
              <w:left w:val="nil"/>
              <w:bottom w:val="single" w:sz="4" w:space="0" w:color="auto"/>
              <w:right w:val="single" w:sz="4" w:space="0" w:color="auto"/>
            </w:tcBorders>
            <w:shd w:val="clear" w:color="auto" w:fill="auto"/>
            <w:hideMark/>
          </w:tcPr>
          <w:p w14:paraId="6445CAF8" w14:textId="77777777" w:rsidR="00194C32" w:rsidRPr="00CC7E97" w:rsidRDefault="00194C32" w:rsidP="00194C32">
            <w:pPr>
              <w:pStyle w:val="TLTBodyText"/>
              <w:rPr>
                <w:color w:val="000000"/>
              </w:rPr>
            </w:pPr>
            <w:r w:rsidRPr="00CC7E97">
              <w:rPr>
                <w:color w:val="000000"/>
              </w:rPr>
              <w:t>JML</w:t>
            </w:r>
          </w:p>
        </w:tc>
        <w:tc>
          <w:tcPr>
            <w:tcW w:w="1550" w:type="dxa"/>
            <w:tcBorders>
              <w:top w:val="nil"/>
              <w:left w:val="nil"/>
              <w:bottom w:val="single" w:sz="4" w:space="0" w:color="auto"/>
              <w:right w:val="single" w:sz="4" w:space="0" w:color="auto"/>
            </w:tcBorders>
            <w:shd w:val="clear" w:color="auto" w:fill="auto"/>
            <w:hideMark/>
          </w:tcPr>
          <w:p w14:paraId="6488816E"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63DA4408"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4770D666"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EDDEBAF"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32A7703E" w14:textId="77777777" w:rsidR="00194C32" w:rsidRPr="00CC7E97" w:rsidRDefault="00194C32" w:rsidP="00194C32">
            <w:pPr>
              <w:pStyle w:val="TLTBodyText"/>
            </w:pPr>
            <w:r w:rsidRPr="00CC7E97">
              <w:t>The solution must ensure that all user account management supports the HMCTS in securely onboarding new staff (Joiners), managing staff transitions between teams (Movers), and offboarding staff who leave the organisation (Leavers).</w:t>
            </w:r>
          </w:p>
        </w:tc>
      </w:tr>
      <w:tr w:rsidR="00194C32" w:rsidRPr="00CC7E97" w14:paraId="590AC135"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BE1A546" w14:textId="77777777" w:rsidR="00194C32" w:rsidRPr="00CC7E97" w:rsidRDefault="00194C32" w:rsidP="00194C32">
            <w:pPr>
              <w:pStyle w:val="TLTBodyText"/>
            </w:pPr>
            <w:r w:rsidRPr="00CC7E97">
              <w:t>SEC-06-001</w:t>
            </w:r>
          </w:p>
        </w:tc>
        <w:tc>
          <w:tcPr>
            <w:tcW w:w="1995" w:type="dxa"/>
            <w:tcBorders>
              <w:top w:val="nil"/>
              <w:left w:val="nil"/>
              <w:bottom w:val="single" w:sz="4" w:space="0" w:color="auto"/>
              <w:right w:val="single" w:sz="4" w:space="0" w:color="auto"/>
            </w:tcBorders>
            <w:shd w:val="clear" w:color="auto" w:fill="auto"/>
            <w:hideMark/>
          </w:tcPr>
          <w:p w14:paraId="0A8E31CB" w14:textId="77777777" w:rsidR="00194C32" w:rsidRPr="00CC7E97" w:rsidRDefault="00194C32" w:rsidP="00194C32">
            <w:pPr>
              <w:pStyle w:val="TLTBodyText"/>
              <w:rPr>
                <w:color w:val="000000"/>
              </w:rPr>
            </w:pPr>
            <w:r w:rsidRPr="00CC7E97">
              <w:rPr>
                <w:color w:val="000000"/>
              </w:rPr>
              <w:t>Cryptography</w:t>
            </w:r>
          </w:p>
        </w:tc>
        <w:tc>
          <w:tcPr>
            <w:tcW w:w="1795" w:type="dxa"/>
            <w:tcBorders>
              <w:top w:val="nil"/>
              <w:left w:val="nil"/>
              <w:bottom w:val="single" w:sz="4" w:space="0" w:color="auto"/>
              <w:right w:val="single" w:sz="4" w:space="0" w:color="auto"/>
            </w:tcBorders>
            <w:shd w:val="clear" w:color="auto" w:fill="auto"/>
            <w:hideMark/>
          </w:tcPr>
          <w:p w14:paraId="0C18F78A" w14:textId="77777777" w:rsidR="00194C32" w:rsidRPr="00CC7E97" w:rsidRDefault="00194C32" w:rsidP="00194C32">
            <w:pPr>
              <w:pStyle w:val="TLTBodyText"/>
              <w:rPr>
                <w:color w:val="000000"/>
              </w:rPr>
            </w:pPr>
            <w:r w:rsidRPr="00CC7E97">
              <w:rPr>
                <w:color w:val="000000"/>
              </w:rPr>
              <w:t>Credentials and Secrets Management</w:t>
            </w:r>
          </w:p>
        </w:tc>
        <w:tc>
          <w:tcPr>
            <w:tcW w:w="1550" w:type="dxa"/>
            <w:tcBorders>
              <w:top w:val="nil"/>
              <w:left w:val="nil"/>
              <w:bottom w:val="single" w:sz="4" w:space="0" w:color="auto"/>
              <w:right w:val="single" w:sz="4" w:space="0" w:color="auto"/>
            </w:tcBorders>
            <w:shd w:val="clear" w:color="auto" w:fill="auto"/>
            <w:hideMark/>
          </w:tcPr>
          <w:p w14:paraId="34DD24DA"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22DB901F"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5C34AF54"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6C3720F3"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19F7F8A6" w14:textId="77777777" w:rsidR="00194C32" w:rsidRPr="00CC7E97" w:rsidRDefault="00194C32" w:rsidP="00194C32">
            <w:pPr>
              <w:pStyle w:val="TLTBodyText"/>
              <w:rPr>
                <w:rFonts w:cs="Arial"/>
              </w:rPr>
            </w:pPr>
            <w:r w:rsidRPr="00CC7E97">
              <w:rPr>
                <w:rFonts w:cs="Arial"/>
              </w:rPr>
              <w:t>The solution must provide a secure mechanism to store and retrieve credentials, cryptographic keys and secrets based on NCSC guidance (</w:t>
            </w:r>
            <w:hyperlink r:id="rId10" w:history="1">
              <w:r w:rsidR="00571AD5" w:rsidRPr="00B4556A">
                <w:rPr>
                  <w:rStyle w:val="Hyperlink"/>
                  <w:rFonts w:cs="Arial"/>
                </w:rPr>
                <w:t>h</w:t>
              </w:r>
              <w:r w:rsidR="00571AD5" w:rsidRPr="00B4556A">
                <w:rPr>
                  <w:rStyle w:val="Hyperlink"/>
                </w:rPr>
                <w:t>ttps://www.ncsc.gov.uk/collection/cloud/understanding-cloud-services/choosing-and-configuring-a-kms-for-secure-key-management-in-the-cloud</w:t>
              </w:r>
            </w:hyperlink>
            <w:r w:rsidRPr="00CC7E97">
              <w:rPr>
                <w:rFonts w:cs="Arial"/>
              </w:rPr>
              <w:t>)</w:t>
            </w:r>
            <w:r w:rsidR="004906B4" w:rsidRPr="00CC7E97">
              <w:rPr>
                <w:rFonts w:cs="Arial"/>
              </w:rPr>
              <w:t xml:space="preserve">.  </w:t>
            </w:r>
            <w:r w:rsidRPr="00CC7E97">
              <w:rPr>
                <w:rFonts w:cs="Arial"/>
              </w:rPr>
              <w:t>At a minimum, the solution must (1) use a tamper-resistant secure storage (2) provide a mechanism for automated rotation of keys and secrets (3) provide a mechanism for deletion or revocation of cryptographic keys (4) log and monitor access to cryptographic keys.</w:t>
            </w:r>
          </w:p>
        </w:tc>
      </w:tr>
      <w:tr w:rsidR="00194C32" w:rsidRPr="00CC7E97" w14:paraId="4D79654D"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0CA30458" w14:textId="77777777" w:rsidR="00194C32" w:rsidRPr="00CC7E97" w:rsidRDefault="00194C32" w:rsidP="00194C32">
            <w:pPr>
              <w:pStyle w:val="TLTBodyText"/>
            </w:pPr>
            <w:r w:rsidRPr="00CC7E97">
              <w:t>SEC-06-002</w:t>
            </w:r>
          </w:p>
        </w:tc>
        <w:tc>
          <w:tcPr>
            <w:tcW w:w="1995" w:type="dxa"/>
            <w:tcBorders>
              <w:top w:val="nil"/>
              <w:left w:val="nil"/>
              <w:bottom w:val="single" w:sz="4" w:space="0" w:color="auto"/>
              <w:right w:val="single" w:sz="4" w:space="0" w:color="auto"/>
            </w:tcBorders>
            <w:shd w:val="clear" w:color="auto" w:fill="auto"/>
            <w:hideMark/>
          </w:tcPr>
          <w:p w14:paraId="64EA61A2" w14:textId="77777777" w:rsidR="00194C32" w:rsidRPr="00CC7E97" w:rsidRDefault="00194C32" w:rsidP="00194C32">
            <w:pPr>
              <w:pStyle w:val="TLTBodyText"/>
              <w:rPr>
                <w:color w:val="000000"/>
              </w:rPr>
            </w:pPr>
            <w:r w:rsidRPr="00CC7E97">
              <w:rPr>
                <w:color w:val="000000"/>
              </w:rPr>
              <w:t>Cryptography</w:t>
            </w:r>
          </w:p>
        </w:tc>
        <w:tc>
          <w:tcPr>
            <w:tcW w:w="1795" w:type="dxa"/>
            <w:tcBorders>
              <w:top w:val="nil"/>
              <w:left w:val="nil"/>
              <w:bottom w:val="single" w:sz="4" w:space="0" w:color="auto"/>
              <w:right w:val="single" w:sz="4" w:space="0" w:color="auto"/>
            </w:tcBorders>
            <w:shd w:val="clear" w:color="auto" w:fill="auto"/>
            <w:hideMark/>
          </w:tcPr>
          <w:p w14:paraId="0EB07080" w14:textId="77777777" w:rsidR="00194C32" w:rsidRPr="00CC7E97" w:rsidRDefault="00194C32" w:rsidP="00194C32">
            <w:pPr>
              <w:pStyle w:val="TLTBodyText"/>
              <w:rPr>
                <w:color w:val="000000"/>
              </w:rPr>
            </w:pPr>
            <w:r w:rsidRPr="00CC7E97">
              <w:rPr>
                <w:color w:val="000000"/>
              </w:rPr>
              <w:t>Encryption (Data at rest)</w:t>
            </w:r>
          </w:p>
        </w:tc>
        <w:tc>
          <w:tcPr>
            <w:tcW w:w="1550" w:type="dxa"/>
            <w:tcBorders>
              <w:top w:val="nil"/>
              <w:left w:val="nil"/>
              <w:bottom w:val="single" w:sz="4" w:space="0" w:color="auto"/>
              <w:right w:val="single" w:sz="4" w:space="0" w:color="auto"/>
            </w:tcBorders>
            <w:shd w:val="clear" w:color="auto" w:fill="auto"/>
            <w:hideMark/>
          </w:tcPr>
          <w:p w14:paraId="21D8A084"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0E929C68"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2986FAF4"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3A562CD2"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17024763" w14:textId="77777777" w:rsidR="00194C32" w:rsidRPr="00CC7E97" w:rsidRDefault="00194C32" w:rsidP="00194C32">
            <w:pPr>
              <w:pStyle w:val="TLTBodyText"/>
              <w:rPr>
                <w:rFonts w:cs="Arial"/>
              </w:rPr>
            </w:pPr>
            <w:r w:rsidRPr="00CC7E97">
              <w:rPr>
                <w:rFonts w:cs="Arial"/>
              </w:rPr>
              <w:t>The solution must implement cryptographic controls to provide data at rest protection for all HMCTS information assets based on NCSC guidance (</w:t>
            </w:r>
            <w:hyperlink r:id="rId11" w:anchor="principle23" w:history="1">
              <w:r w:rsidR="00571AD5" w:rsidRPr="00B4556A">
                <w:rPr>
                  <w:rStyle w:val="Hyperlink"/>
                </w:rPr>
                <w:t>https://www.ncsc.gov.uk/collection/cloud/the-cloud-security-principles/principle-2-asset-protection-and-resilience#principle23</w:t>
              </w:r>
            </w:hyperlink>
            <w:r w:rsidRPr="00CC7E97">
              <w:rPr>
                <w:rFonts w:cs="Arial"/>
              </w:rPr>
              <w:t>)</w:t>
            </w:r>
            <w:r w:rsidR="004906B4" w:rsidRPr="00CC7E97">
              <w:rPr>
                <w:rFonts w:cs="Arial"/>
              </w:rPr>
              <w:t xml:space="preserve">.  </w:t>
            </w:r>
            <w:r w:rsidRPr="00CC7E97">
              <w:rPr>
                <w:rFonts w:cs="Arial"/>
              </w:rPr>
              <w:t xml:space="preserve">At a minimum, the solution must (1) not use NIST deprecated or disallowed ciphers (2) support symmetric algorithm AES (3) support 256-bit key length (4) support AES-GCM or </w:t>
            </w:r>
            <w:r w:rsidRPr="00CC7E97">
              <w:rPr>
                <w:rFonts w:cs="Arial"/>
              </w:rPr>
              <w:lastRenderedPageBreak/>
              <w:t>AES-XTS modes of operation (5) support SHA-256 hashing algorithm.</w:t>
            </w:r>
          </w:p>
        </w:tc>
      </w:tr>
      <w:tr w:rsidR="00194C32" w:rsidRPr="00CC7E97" w14:paraId="2F495ED2"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453007A0" w14:textId="77777777" w:rsidR="00194C32" w:rsidRPr="00CC7E97" w:rsidRDefault="00194C32" w:rsidP="00194C32">
            <w:pPr>
              <w:pStyle w:val="TLTBodyText"/>
            </w:pPr>
            <w:r w:rsidRPr="00CC7E97">
              <w:lastRenderedPageBreak/>
              <w:t>SEC-06-003</w:t>
            </w:r>
          </w:p>
        </w:tc>
        <w:tc>
          <w:tcPr>
            <w:tcW w:w="1995" w:type="dxa"/>
            <w:tcBorders>
              <w:top w:val="nil"/>
              <w:left w:val="nil"/>
              <w:bottom w:val="single" w:sz="4" w:space="0" w:color="auto"/>
              <w:right w:val="single" w:sz="4" w:space="0" w:color="auto"/>
            </w:tcBorders>
            <w:shd w:val="clear" w:color="auto" w:fill="auto"/>
            <w:hideMark/>
          </w:tcPr>
          <w:p w14:paraId="5EA157FF" w14:textId="77777777" w:rsidR="00194C32" w:rsidRPr="00CC7E97" w:rsidRDefault="00194C32" w:rsidP="00194C32">
            <w:pPr>
              <w:pStyle w:val="TLTBodyText"/>
              <w:rPr>
                <w:color w:val="000000"/>
              </w:rPr>
            </w:pPr>
            <w:r w:rsidRPr="00CC7E97">
              <w:rPr>
                <w:color w:val="000000"/>
              </w:rPr>
              <w:t>Cryptography</w:t>
            </w:r>
          </w:p>
        </w:tc>
        <w:tc>
          <w:tcPr>
            <w:tcW w:w="1795" w:type="dxa"/>
            <w:tcBorders>
              <w:top w:val="nil"/>
              <w:left w:val="nil"/>
              <w:bottom w:val="single" w:sz="4" w:space="0" w:color="auto"/>
              <w:right w:val="single" w:sz="4" w:space="0" w:color="auto"/>
            </w:tcBorders>
            <w:shd w:val="clear" w:color="auto" w:fill="auto"/>
            <w:hideMark/>
          </w:tcPr>
          <w:p w14:paraId="6EB9A76D" w14:textId="77777777" w:rsidR="00194C32" w:rsidRPr="00CC7E97" w:rsidRDefault="00194C32" w:rsidP="00194C32">
            <w:pPr>
              <w:pStyle w:val="TLTBodyText"/>
              <w:rPr>
                <w:color w:val="000000"/>
              </w:rPr>
            </w:pPr>
            <w:r w:rsidRPr="00CC7E97">
              <w:rPr>
                <w:color w:val="000000"/>
              </w:rPr>
              <w:t>Encryption (Data in transit)</w:t>
            </w:r>
          </w:p>
        </w:tc>
        <w:tc>
          <w:tcPr>
            <w:tcW w:w="1550" w:type="dxa"/>
            <w:tcBorders>
              <w:top w:val="nil"/>
              <w:left w:val="nil"/>
              <w:bottom w:val="single" w:sz="4" w:space="0" w:color="auto"/>
              <w:right w:val="single" w:sz="4" w:space="0" w:color="auto"/>
            </w:tcBorders>
            <w:shd w:val="clear" w:color="auto" w:fill="auto"/>
            <w:hideMark/>
          </w:tcPr>
          <w:p w14:paraId="6358FFF9"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6860EB91"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6939FA08"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7039F55F"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7A873000" w14:textId="77777777" w:rsidR="00194C32" w:rsidRPr="00CC7E97" w:rsidRDefault="00194C32" w:rsidP="00194C32">
            <w:pPr>
              <w:pStyle w:val="TLTBodyText"/>
              <w:rPr>
                <w:rFonts w:cs="Arial"/>
              </w:rPr>
            </w:pPr>
            <w:r w:rsidRPr="00CC7E97">
              <w:rPr>
                <w:rFonts w:cs="Arial"/>
              </w:rPr>
              <w:t>The solution must implement cryptographic controls to provide data in transit protection for all HMCTS information assets based on NCSC guidance (</w:t>
            </w:r>
            <w:hyperlink r:id="rId12" w:history="1">
              <w:r w:rsidR="00571AD5" w:rsidRPr="00B4556A">
                <w:rPr>
                  <w:rStyle w:val="Hyperlink"/>
                  <w:rFonts w:cs="Arial"/>
                </w:rPr>
                <w:t>h</w:t>
              </w:r>
              <w:r w:rsidR="00571AD5" w:rsidRPr="00B4556A">
                <w:rPr>
                  <w:rStyle w:val="Hyperlink"/>
                </w:rPr>
                <w:t>ttps://www.ncsc.gov.uk/guidance/using-tls-to-protect-data</w:t>
              </w:r>
            </w:hyperlink>
            <w:r w:rsidRPr="00CC7E97">
              <w:rPr>
                <w:rFonts w:cs="Arial"/>
              </w:rPr>
              <w:t>)</w:t>
            </w:r>
            <w:r w:rsidR="004906B4" w:rsidRPr="00CC7E97">
              <w:rPr>
                <w:rFonts w:cs="Arial"/>
              </w:rPr>
              <w:t xml:space="preserve">.  </w:t>
            </w:r>
            <w:r w:rsidRPr="00CC7E97">
              <w:rPr>
                <w:rFonts w:cs="Arial"/>
              </w:rPr>
              <w:t>At a minimum, the solution must (1) not use NIST deprecated ciphers (2) support TLS 1.2 or above (3) disable TLS features known to be insecure (4) support 2048-bit RSA or ECDSA-256 P-256 Curve signing algorithms (5) support SHA-256 hashing algorithm.</w:t>
            </w:r>
          </w:p>
        </w:tc>
      </w:tr>
      <w:tr w:rsidR="00194C32" w:rsidRPr="00CC7E97" w14:paraId="5507AFD8"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CC76AA4" w14:textId="77777777" w:rsidR="00194C32" w:rsidRPr="00CC7E97" w:rsidRDefault="00194C32" w:rsidP="00194C32">
            <w:pPr>
              <w:pStyle w:val="TLTBodyText"/>
            </w:pPr>
            <w:r w:rsidRPr="00CC7E97">
              <w:t>SEC-07-001</w:t>
            </w:r>
          </w:p>
        </w:tc>
        <w:tc>
          <w:tcPr>
            <w:tcW w:w="1995" w:type="dxa"/>
            <w:tcBorders>
              <w:top w:val="nil"/>
              <w:left w:val="nil"/>
              <w:bottom w:val="single" w:sz="4" w:space="0" w:color="auto"/>
              <w:right w:val="single" w:sz="4" w:space="0" w:color="auto"/>
            </w:tcBorders>
            <w:shd w:val="clear" w:color="auto" w:fill="auto"/>
            <w:hideMark/>
          </w:tcPr>
          <w:p w14:paraId="7952F2F0" w14:textId="77777777" w:rsidR="00194C32" w:rsidRPr="00CC7E97" w:rsidRDefault="00194C32" w:rsidP="00194C32">
            <w:pPr>
              <w:pStyle w:val="TLTBodyText"/>
              <w:rPr>
                <w:color w:val="000000"/>
              </w:rPr>
            </w:pPr>
            <w:r w:rsidRPr="00CC7E97">
              <w:rPr>
                <w:color w:val="000000"/>
              </w:rPr>
              <w:t>Physical and Environmental Security</w:t>
            </w:r>
          </w:p>
        </w:tc>
        <w:tc>
          <w:tcPr>
            <w:tcW w:w="1795" w:type="dxa"/>
            <w:tcBorders>
              <w:top w:val="nil"/>
              <w:left w:val="nil"/>
              <w:bottom w:val="single" w:sz="4" w:space="0" w:color="auto"/>
              <w:right w:val="single" w:sz="4" w:space="0" w:color="auto"/>
            </w:tcBorders>
            <w:shd w:val="clear" w:color="auto" w:fill="auto"/>
            <w:hideMark/>
          </w:tcPr>
          <w:p w14:paraId="7E3EC776" w14:textId="77777777" w:rsidR="00194C32" w:rsidRPr="00CC7E97" w:rsidRDefault="00194C32" w:rsidP="00194C32">
            <w:pPr>
              <w:pStyle w:val="TLTBodyText"/>
              <w:rPr>
                <w:color w:val="000000"/>
              </w:rPr>
            </w:pPr>
            <w:r w:rsidRPr="00CC7E97">
              <w:rPr>
                <w:color w:val="000000"/>
              </w:rPr>
              <w:t>Physical and Environmental Security</w:t>
            </w:r>
          </w:p>
        </w:tc>
        <w:tc>
          <w:tcPr>
            <w:tcW w:w="1550" w:type="dxa"/>
            <w:tcBorders>
              <w:top w:val="nil"/>
              <w:left w:val="nil"/>
              <w:bottom w:val="single" w:sz="4" w:space="0" w:color="auto"/>
              <w:right w:val="single" w:sz="4" w:space="0" w:color="auto"/>
            </w:tcBorders>
            <w:shd w:val="clear" w:color="auto" w:fill="auto"/>
            <w:hideMark/>
          </w:tcPr>
          <w:p w14:paraId="4976F7D2"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740E1A2A"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5C0EA628"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390931C3"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30C6C887" w14:textId="77777777" w:rsidR="00194C32" w:rsidRPr="00CC7E97" w:rsidRDefault="00194C32" w:rsidP="00194C32">
            <w:pPr>
              <w:pStyle w:val="TLTBodyText"/>
            </w:pPr>
            <w:r w:rsidRPr="00CC7E97">
              <w:t>The supplier must implement physical security controls at locations used in the provision of the solution and service</w:t>
            </w:r>
            <w:r w:rsidR="004906B4" w:rsidRPr="00CC7E97">
              <w:t xml:space="preserve">.  </w:t>
            </w:r>
            <w:r w:rsidRPr="00CC7E97">
              <w:t>At a minimum, National Protective Security Authority (NPSA) guidance (</w:t>
            </w:r>
            <w:hyperlink r:id="rId13" w:history="1">
              <w:r w:rsidR="00571AD5" w:rsidRPr="00B4556A">
                <w:rPr>
                  <w:rStyle w:val="Hyperlink"/>
                </w:rPr>
                <w:t>https://www.npsa.gov.uk/advice-guidance</w:t>
              </w:r>
            </w:hyperlink>
            <w:r w:rsidRPr="00CC7E97">
              <w:t>) must be consulted to identify proportionate controls for preventing unauthorised physical access, damage and interference to information processing facilities where HMCTS data may be stored, processed and managed from.</w:t>
            </w:r>
          </w:p>
        </w:tc>
      </w:tr>
      <w:tr w:rsidR="00194C32" w:rsidRPr="00CC7E97" w14:paraId="04DCC44F"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2F1D247" w14:textId="77777777" w:rsidR="00194C32" w:rsidRPr="00CC7E97" w:rsidRDefault="00194C32" w:rsidP="00194C32">
            <w:pPr>
              <w:pStyle w:val="TLTBodyText"/>
            </w:pPr>
            <w:r w:rsidRPr="00CC7E97">
              <w:t>SEC-08-001</w:t>
            </w:r>
          </w:p>
        </w:tc>
        <w:tc>
          <w:tcPr>
            <w:tcW w:w="1995" w:type="dxa"/>
            <w:tcBorders>
              <w:top w:val="nil"/>
              <w:left w:val="nil"/>
              <w:bottom w:val="single" w:sz="4" w:space="0" w:color="auto"/>
              <w:right w:val="single" w:sz="4" w:space="0" w:color="auto"/>
            </w:tcBorders>
            <w:shd w:val="clear" w:color="auto" w:fill="auto"/>
            <w:hideMark/>
          </w:tcPr>
          <w:p w14:paraId="321CBB58"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134BF8BC" w14:textId="77777777" w:rsidR="00194C32" w:rsidRPr="00CC7E97" w:rsidRDefault="00194C32" w:rsidP="00194C32">
            <w:pPr>
              <w:pStyle w:val="TLTBodyText"/>
              <w:rPr>
                <w:color w:val="000000"/>
              </w:rPr>
            </w:pPr>
            <w:r w:rsidRPr="00CC7E97">
              <w:rPr>
                <w:color w:val="000000"/>
              </w:rPr>
              <w:t>Malware</w:t>
            </w:r>
          </w:p>
        </w:tc>
        <w:tc>
          <w:tcPr>
            <w:tcW w:w="1550" w:type="dxa"/>
            <w:tcBorders>
              <w:top w:val="nil"/>
              <w:left w:val="nil"/>
              <w:bottom w:val="single" w:sz="4" w:space="0" w:color="auto"/>
              <w:right w:val="single" w:sz="4" w:space="0" w:color="auto"/>
            </w:tcBorders>
            <w:shd w:val="clear" w:color="auto" w:fill="auto"/>
            <w:hideMark/>
          </w:tcPr>
          <w:p w14:paraId="64920F00"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52565082"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545B7F70"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534E153"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68B50DBC" w14:textId="77777777" w:rsidR="00194C32" w:rsidRPr="00CC7E97" w:rsidRDefault="00194C32" w:rsidP="00194C32">
            <w:pPr>
              <w:pStyle w:val="TLTBodyText"/>
            </w:pPr>
            <w:r w:rsidRPr="00CC7E97">
              <w:t>The solution must implement malware controls to detect and prevent malware-based attacks</w:t>
            </w:r>
            <w:r w:rsidR="004906B4" w:rsidRPr="00CC7E97">
              <w:t xml:space="preserve">.  </w:t>
            </w:r>
            <w:r w:rsidRPr="00CC7E97">
              <w:t>At a minimum, the solution must (1) use up-to-date malware detection signatures or heuristics (2) prevent attacks in near real-time (3) be monitored to ensure malware controls are always enabled (4) meet NCSC pattern for Safely Importing Data (</w:t>
            </w:r>
            <w:hyperlink r:id="rId14" w:history="1">
              <w:r w:rsidR="00571AD5" w:rsidRPr="00B4556A">
                <w:rPr>
                  <w:rStyle w:val="Hyperlink"/>
                </w:rPr>
                <w:t>https://www.ncsc.gov.uk/guidance/pattern-safely-</w:t>
              </w:r>
              <w:r w:rsidR="00571AD5" w:rsidRPr="00B4556A">
                <w:rPr>
                  <w:rStyle w:val="Hyperlink"/>
                </w:rPr>
                <w:lastRenderedPageBreak/>
                <w:t>importing-data</w:t>
              </w:r>
            </w:hyperlink>
            <w:r w:rsidRPr="00CC7E97">
              <w:t>) for any function designed to ingest, upload or store data from an untrusted source.</w:t>
            </w:r>
          </w:p>
        </w:tc>
      </w:tr>
      <w:tr w:rsidR="00194C32" w:rsidRPr="00CC7E97" w14:paraId="28AFDDC6"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463CA77" w14:textId="77777777" w:rsidR="00194C32" w:rsidRPr="00CC7E97" w:rsidRDefault="00194C32" w:rsidP="00194C32">
            <w:pPr>
              <w:pStyle w:val="TLTBodyText"/>
            </w:pPr>
            <w:r w:rsidRPr="00CC7E97">
              <w:lastRenderedPageBreak/>
              <w:t>SEC-08-002</w:t>
            </w:r>
          </w:p>
        </w:tc>
        <w:tc>
          <w:tcPr>
            <w:tcW w:w="1995" w:type="dxa"/>
            <w:tcBorders>
              <w:top w:val="nil"/>
              <w:left w:val="nil"/>
              <w:bottom w:val="single" w:sz="4" w:space="0" w:color="auto"/>
              <w:right w:val="single" w:sz="4" w:space="0" w:color="auto"/>
            </w:tcBorders>
            <w:shd w:val="clear" w:color="auto" w:fill="auto"/>
            <w:hideMark/>
          </w:tcPr>
          <w:p w14:paraId="235B00D0"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753AED46" w14:textId="77777777" w:rsidR="00194C32" w:rsidRPr="00CC7E97" w:rsidRDefault="00194C32" w:rsidP="00194C32">
            <w:pPr>
              <w:pStyle w:val="TLTBodyText"/>
              <w:rPr>
                <w:color w:val="000000"/>
              </w:rPr>
            </w:pPr>
            <w:r w:rsidRPr="00CC7E97">
              <w:rPr>
                <w:color w:val="000000"/>
              </w:rPr>
              <w:t>Vendor Support</w:t>
            </w:r>
          </w:p>
        </w:tc>
        <w:tc>
          <w:tcPr>
            <w:tcW w:w="1550" w:type="dxa"/>
            <w:tcBorders>
              <w:top w:val="nil"/>
              <w:left w:val="nil"/>
              <w:bottom w:val="single" w:sz="4" w:space="0" w:color="auto"/>
              <w:right w:val="single" w:sz="4" w:space="0" w:color="auto"/>
            </w:tcBorders>
            <w:shd w:val="clear" w:color="auto" w:fill="auto"/>
            <w:hideMark/>
          </w:tcPr>
          <w:p w14:paraId="70AD7BBB"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4A70A4F3"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5E74ED65"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6C423D7"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6D9FDB60" w14:textId="77777777" w:rsidR="00194C32" w:rsidRPr="00CC7E97" w:rsidRDefault="00194C32" w:rsidP="00194C32">
            <w:pPr>
              <w:pStyle w:val="TLTBodyText"/>
            </w:pPr>
            <w:r w:rsidRPr="00CC7E97">
              <w:t>The supplier must ensure all software and hardware is supported by a vendor that produces regular security updates</w:t>
            </w:r>
            <w:r w:rsidR="004906B4" w:rsidRPr="00CC7E97">
              <w:t xml:space="preserve">.  </w:t>
            </w:r>
            <w:r w:rsidRPr="00CC7E97">
              <w:t>At a minimum, the supplier must (1) inform HMCTS six months in advance of software or hardware reaching end of vendor support (2) inform HMCTS if extended support agreements have been purchased to obtain security updates.</w:t>
            </w:r>
          </w:p>
        </w:tc>
      </w:tr>
      <w:tr w:rsidR="00194C32" w:rsidRPr="00CC7E97" w14:paraId="3681B6D2"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7DDBBDFB" w14:textId="77777777" w:rsidR="00194C32" w:rsidRPr="00CC7E97" w:rsidRDefault="00194C32" w:rsidP="00194C32">
            <w:pPr>
              <w:pStyle w:val="TLTBodyText"/>
            </w:pPr>
            <w:r w:rsidRPr="00CC7E97">
              <w:t>SEC-08-003</w:t>
            </w:r>
          </w:p>
        </w:tc>
        <w:tc>
          <w:tcPr>
            <w:tcW w:w="1995" w:type="dxa"/>
            <w:tcBorders>
              <w:top w:val="nil"/>
              <w:left w:val="nil"/>
              <w:bottom w:val="single" w:sz="4" w:space="0" w:color="auto"/>
              <w:right w:val="single" w:sz="4" w:space="0" w:color="auto"/>
            </w:tcBorders>
            <w:shd w:val="clear" w:color="auto" w:fill="auto"/>
            <w:hideMark/>
          </w:tcPr>
          <w:p w14:paraId="72144A34"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0F6FAF32" w14:textId="77777777" w:rsidR="00194C32" w:rsidRPr="00CC7E97" w:rsidRDefault="00194C32" w:rsidP="00194C32">
            <w:pPr>
              <w:pStyle w:val="TLTBodyText"/>
              <w:rPr>
                <w:color w:val="000000"/>
              </w:rPr>
            </w:pPr>
            <w:r w:rsidRPr="00CC7E97">
              <w:rPr>
                <w:color w:val="000000"/>
              </w:rPr>
              <w:t>End User Devices</w:t>
            </w:r>
          </w:p>
        </w:tc>
        <w:tc>
          <w:tcPr>
            <w:tcW w:w="1550" w:type="dxa"/>
            <w:tcBorders>
              <w:top w:val="nil"/>
              <w:left w:val="nil"/>
              <w:bottom w:val="single" w:sz="4" w:space="0" w:color="auto"/>
              <w:right w:val="single" w:sz="4" w:space="0" w:color="auto"/>
            </w:tcBorders>
            <w:shd w:val="clear" w:color="auto" w:fill="auto"/>
            <w:hideMark/>
          </w:tcPr>
          <w:p w14:paraId="4AA0BFD8"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13ECA188"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77FD8CA2"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550925D3" w14:textId="77777777" w:rsidR="00194C32" w:rsidRPr="00CC7E97" w:rsidRDefault="00194C32" w:rsidP="00194C32">
            <w:pPr>
              <w:pStyle w:val="TLTBodyText"/>
              <w:rPr>
                <w:color w:val="000000"/>
              </w:rPr>
            </w:pPr>
            <w:r w:rsidRPr="00CC7E97">
              <w:rPr>
                <w:color w:val="000000"/>
              </w:rPr>
              <w:t>SMP</w:t>
            </w:r>
          </w:p>
        </w:tc>
        <w:tc>
          <w:tcPr>
            <w:tcW w:w="4821" w:type="dxa"/>
            <w:tcBorders>
              <w:top w:val="nil"/>
              <w:left w:val="nil"/>
              <w:bottom w:val="single" w:sz="4" w:space="0" w:color="auto"/>
              <w:right w:val="single" w:sz="4" w:space="0" w:color="auto"/>
            </w:tcBorders>
            <w:shd w:val="clear" w:color="auto" w:fill="auto"/>
            <w:hideMark/>
          </w:tcPr>
          <w:p w14:paraId="5AFCFCF9" w14:textId="77777777" w:rsidR="00194C32" w:rsidRPr="00CC7E97" w:rsidRDefault="00194C32" w:rsidP="00194C32">
            <w:pPr>
              <w:pStyle w:val="TLTBodyText"/>
            </w:pPr>
            <w:r w:rsidRPr="00CC7E97">
              <w:t>The supplier should ensure devices used to access or manage HMCTS data under the management authority of the supplier have a minimum set of security policy configurations enforced</w:t>
            </w:r>
            <w:r w:rsidR="004906B4" w:rsidRPr="00CC7E97">
              <w:t xml:space="preserve">.  </w:t>
            </w:r>
            <w:r w:rsidRPr="00CC7E97">
              <w:t>At a minimum, all supplier devices must satisfy the security requirements set out in the NCSC Device Security guidance (</w:t>
            </w:r>
            <w:hyperlink r:id="rId15" w:history="1">
              <w:r w:rsidR="00571AD5" w:rsidRPr="00B4556A">
                <w:rPr>
                  <w:rStyle w:val="Hyperlink"/>
                </w:rPr>
                <w:t>https://www.ncsc.gov.uk/collection/device-security-guidance</w:t>
              </w:r>
            </w:hyperlink>
            <w:r w:rsidRPr="00CC7E97">
              <w:t>).</w:t>
            </w:r>
          </w:p>
        </w:tc>
      </w:tr>
      <w:tr w:rsidR="00194C32" w:rsidRPr="00CC7E97" w14:paraId="44F80F1D"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94F7261" w14:textId="77777777" w:rsidR="00194C32" w:rsidRPr="00CC7E97" w:rsidRDefault="00194C32" w:rsidP="00194C32">
            <w:pPr>
              <w:pStyle w:val="TLTBodyText"/>
            </w:pPr>
            <w:r w:rsidRPr="00CC7E97">
              <w:t>SEC-08-004</w:t>
            </w:r>
          </w:p>
        </w:tc>
        <w:tc>
          <w:tcPr>
            <w:tcW w:w="1995" w:type="dxa"/>
            <w:tcBorders>
              <w:top w:val="nil"/>
              <w:left w:val="nil"/>
              <w:bottom w:val="single" w:sz="4" w:space="0" w:color="auto"/>
              <w:right w:val="single" w:sz="4" w:space="0" w:color="auto"/>
            </w:tcBorders>
            <w:shd w:val="clear" w:color="auto" w:fill="auto"/>
            <w:hideMark/>
          </w:tcPr>
          <w:p w14:paraId="67E3AFC7"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24DB5C82" w14:textId="77777777" w:rsidR="00194C32" w:rsidRPr="00CC7E97" w:rsidRDefault="00194C32" w:rsidP="00194C32">
            <w:pPr>
              <w:pStyle w:val="TLTBodyText"/>
              <w:rPr>
                <w:color w:val="000000"/>
              </w:rPr>
            </w:pPr>
            <w:r w:rsidRPr="00CC7E97">
              <w:rPr>
                <w:color w:val="000000"/>
              </w:rPr>
              <w:t>Environments</w:t>
            </w:r>
          </w:p>
        </w:tc>
        <w:tc>
          <w:tcPr>
            <w:tcW w:w="1550" w:type="dxa"/>
            <w:tcBorders>
              <w:top w:val="nil"/>
              <w:left w:val="nil"/>
              <w:bottom w:val="single" w:sz="4" w:space="0" w:color="auto"/>
              <w:right w:val="single" w:sz="4" w:space="0" w:color="auto"/>
            </w:tcBorders>
            <w:shd w:val="clear" w:color="auto" w:fill="auto"/>
            <w:hideMark/>
          </w:tcPr>
          <w:p w14:paraId="0E789A55"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43C55DB6"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05A8D6C1"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3943501A"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6664D2CE" w14:textId="77777777" w:rsidR="00194C32" w:rsidRPr="00CC7E97" w:rsidRDefault="00194C32" w:rsidP="00194C32">
            <w:pPr>
              <w:pStyle w:val="TLTBodyText"/>
            </w:pPr>
            <w:r w:rsidRPr="00CC7E97">
              <w:t>The solution must enforce physical or logical segregation between production and non-production environments.</w:t>
            </w:r>
          </w:p>
        </w:tc>
      </w:tr>
      <w:tr w:rsidR="00194C32" w:rsidRPr="00CC7E97" w14:paraId="33483EE4"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7B68A30C" w14:textId="77777777" w:rsidR="00194C32" w:rsidRPr="00CC7E97" w:rsidRDefault="00194C32" w:rsidP="00194C32">
            <w:pPr>
              <w:pStyle w:val="TLTBodyText"/>
            </w:pPr>
            <w:r w:rsidRPr="00CC7E97">
              <w:t>SEC-08-005</w:t>
            </w:r>
          </w:p>
        </w:tc>
        <w:tc>
          <w:tcPr>
            <w:tcW w:w="1995" w:type="dxa"/>
            <w:tcBorders>
              <w:top w:val="nil"/>
              <w:left w:val="nil"/>
              <w:bottom w:val="single" w:sz="4" w:space="0" w:color="auto"/>
              <w:right w:val="single" w:sz="4" w:space="0" w:color="auto"/>
            </w:tcBorders>
            <w:shd w:val="clear" w:color="auto" w:fill="auto"/>
            <w:hideMark/>
          </w:tcPr>
          <w:p w14:paraId="7844098E"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652F72B6" w14:textId="77777777" w:rsidR="00194C32" w:rsidRPr="00CC7E97" w:rsidRDefault="00194C32" w:rsidP="00194C32">
            <w:pPr>
              <w:pStyle w:val="TLTBodyText"/>
              <w:rPr>
                <w:color w:val="000000"/>
              </w:rPr>
            </w:pPr>
            <w:proofErr w:type="spellStart"/>
            <w:r w:rsidRPr="00CC7E97">
              <w:rPr>
                <w:color w:val="000000"/>
              </w:rPr>
              <w:t>SyOPs</w:t>
            </w:r>
            <w:proofErr w:type="spellEnd"/>
          </w:p>
        </w:tc>
        <w:tc>
          <w:tcPr>
            <w:tcW w:w="1550" w:type="dxa"/>
            <w:tcBorders>
              <w:top w:val="nil"/>
              <w:left w:val="nil"/>
              <w:bottom w:val="single" w:sz="4" w:space="0" w:color="auto"/>
              <w:right w:val="single" w:sz="4" w:space="0" w:color="auto"/>
            </w:tcBorders>
            <w:shd w:val="clear" w:color="auto" w:fill="auto"/>
            <w:hideMark/>
          </w:tcPr>
          <w:p w14:paraId="6850A022"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781C2764"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B202EDF"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CB3117B"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0CB267E4" w14:textId="77777777" w:rsidR="00194C32" w:rsidRPr="00CC7E97" w:rsidRDefault="00194C32" w:rsidP="00194C32">
            <w:pPr>
              <w:pStyle w:val="TLTBodyText"/>
            </w:pPr>
            <w:r w:rsidRPr="00CC7E97">
              <w:t>The supplier must not extract/export any HMCTS data outside of the service, without written consent from HMCTS</w:t>
            </w:r>
            <w:r w:rsidR="004906B4" w:rsidRPr="00CC7E97">
              <w:t xml:space="preserve">.  </w:t>
            </w:r>
            <w:r w:rsidRPr="00CC7E97">
              <w:t>Any HMCTS approved extract/export must be strictly controlled and recorded</w:t>
            </w:r>
            <w:r w:rsidR="004906B4" w:rsidRPr="00CC7E97">
              <w:t xml:space="preserve">.  </w:t>
            </w:r>
          </w:p>
        </w:tc>
      </w:tr>
      <w:tr w:rsidR="00194C32" w:rsidRPr="00CC7E97" w14:paraId="209BE9FE"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75A178FB" w14:textId="77777777" w:rsidR="00194C32" w:rsidRPr="00CC7E97" w:rsidRDefault="00194C32" w:rsidP="00194C32">
            <w:pPr>
              <w:pStyle w:val="TLTBodyText"/>
            </w:pPr>
            <w:r w:rsidRPr="00CC7E97">
              <w:lastRenderedPageBreak/>
              <w:t>SEC-08-006</w:t>
            </w:r>
          </w:p>
        </w:tc>
        <w:tc>
          <w:tcPr>
            <w:tcW w:w="1995" w:type="dxa"/>
            <w:tcBorders>
              <w:top w:val="nil"/>
              <w:left w:val="nil"/>
              <w:bottom w:val="single" w:sz="4" w:space="0" w:color="auto"/>
              <w:right w:val="single" w:sz="4" w:space="0" w:color="auto"/>
            </w:tcBorders>
            <w:shd w:val="clear" w:color="auto" w:fill="auto"/>
            <w:hideMark/>
          </w:tcPr>
          <w:p w14:paraId="4EAB3250"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18B60E17" w14:textId="77777777" w:rsidR="00194C32" w:rsidRPr="00CC7E97" w:rsidRDefault="00194C32" w:rsidP="00194C32">
            <w:pPr>
              <w:pStyle w:val="TLTBodyText"/>
              <w:rPr>
                <w:color w:val="000000"/>
              </w:rPr>
            </w:pPr>
            <w:r w:rsidRPr="00CC7E97">
              <w:rPr>
                <w:color w:val="000000"/>
              </w:rPr>
              <w:t>Change Management</w:t>
            </w:r>
          </w:p>
        </w:tc>
        <w:tc>
          <w:tcPr>
            <w:tcW w:w="1550" w:type="dxa"/>
            <w:tcBorders>
              <w:top w:val="nil"/>
              <w:left w:val="nil"/>
              <w:bottom w:val="single" w:sz="4" w:space="0" w:color="auto"/>
              <w:right w:val="single" w:sz="4" w:space="0" w:color="auto"/>
            </w:tcBorders>
            <w:shd w:val="clear" w:color="auto" w:fill="auto"/>
            <w:hideMark/>
          </w:tcPr>
          <w:p w14:paraId="1B4758D5"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1B279A01"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594BDBCC"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E3C0D3B"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70D46E64" w14:textId="77777777" w:rsidR="00194C32" w:rsidRPr="00CC7E97" w:rsidRDefault="00194C32" w:rsidP="00194C32">
            <w:pPr>
              <w:pStyle w:val="TLTBodyText"/>
            </w:pPr>
            <w:r w:rsidRPr="00CC7E97">
              <w:t>The supplier must ensure any changes to hardware and software configurations are performed under formal change control which includes security impact assessment prior to change approval</w:t>
            </w:r>
            <w:r w:rsidR="004906B4" w:rsidRPr="00CC7E97">
              <w:t xml:space="preserve">.  </w:t>
            </w:r>
            <w:r w:rsidRPr="00CC7E97">
              <w:t>At a minimum, the supplier must audit against unauthorised changes at least once during any period of twelve months and provide evidence to HMCTS of audit findings.</w:t>
            </w:r>
          </w:p>
        </w:tc>
      </w:tr>
      <w:tr w:rsidR="00194C32" w:rsidRPr="00CC7E97" w14:paraId="6C9858AE"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186C6BE6" w14:textId="77777777" w:rsidR="00194C32" w:rsidRPr="00CC7E97" w:rsidRDefault="00194C32" w:rsidP="00194C32">
            <w:pPr>
              <w:pStyle w:val="TLTBodyText"/>
            </w:pPr>
            <w:r w:rsidRPr="00CC7E97">
              <w:t>SEC-08-007</w:t>
            </w:r>
          </w:p>
        </w:tc>
        <w:tc>
          <w:tcPr>
            <w:tcW w:w="1995" w:type="dxa"/>
            <w:tcBorders>
              <w:top w:val="nil"/>
              <w:left w:val="nil"/>
              <w:bottom w:val="single" w:sz="4" w:space="0" w:color="auto"/>
              <w:right w:val="single" w:sz="4" w:space="0" w:color="auto"/>
            </w:tcBorders>
            <w:shd w:val="clear" w:color="auto" w:fill="auto"/>
            <w:hideMark/>
          </w:tcPr>
          <w:p w14:paraId="127419FE"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0B15EB09" w14:textId="77777777" w:rsidR="00194C32" w:rsidRPr="00CC7E97" w:rsidRDefault="00194C32" w:rsidP="00194C32">
            <w:pPr>
              <w:pStyle w:val="TLTBodyText"/>
              <w:rPr>
                <w:color w:val="000000"/>
              </w:rPr>
            </w:pPr>
            <w:r w:rsidRPr="00CC7E97">
              <w:rPr>
                <w:color w:val="000000"/>
              </w:rPr>
              <w:t>Audit, Logging and Monitoring</w:t>
            </w:r>
          </w:p>
        </w:tc>
        <w:tc>
          <w:tcPr>
            <w:tcW w:w="1550" w:type="dxa"/>
            <w:tcBorders>
              <w:top w:val="nil"/>
              <w:left w:val="nil"/>
              <w:bottom w:val="single" w:sz="4" w:space="0" w:color="auto"/>
              <w:right w:val="single" w:sz="4" w:space="0" w:color="auto"/>
            </w:tcBorders>
            <w:shd w:val="clear" w:color="auto" w:fill="auto"/>
            <w:hideMark/>
          </w:tcPr>
          <w:p w14:paraId="62E66FDD" w14:textId="77777777" w:rsidR="00194C32" w:rsidRPr="00CC7E97" w:rsidRDefault="00194C32" w:rsidP="00194C32">
            <w:pPr>
              <w:pStyle w:val="TLTBodyText"/>
              <w:rPr>
                <w:color w:val="000000"/>
              </w:rPr>
            </w:pPr>
            <w:r w:rsidRPr="00CC7E97">
              <w:rPr>
                <w:color w:val="000000"/>
              </w:rPr>
              <w:t xml:space="preserve">(C) Detecting Cyber Security Events </w:t>
            </w:r>
          </w:p>
        </w:tc>
        <w:tc>
          <w:tcPr>
            <w:tcW w:w="1466" w:type="dxa"/>
            <w:tcBorders>
              <w:top w:val="nil"/>
              <w:left w:val="nil"/>
              <w:bottom w:val="single" w:sz="4" w:space="0" w:color="auto"/>
              <w:right w:val="single" w:sz="4" w:space="0" w:color="auto"/>
            </w:tcBorders>
            <w:shd w:val="clear" w:color="auto" w:fill="auto"/>
            <w:hideMark/>
          </w:tcPr>
          <w:p w14:paraId="3D5E68F2"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69ECE8D3"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0ACC97C"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000000" w:fill="FFFFFF"/>
            <w:hideMark/>
          </w:tcPr>
          <w:p w14:paraId="3FBA63ED" w14:textId="77777777" w:rsidR="00194C32" w:rsidRPr="00CC7E97" w:rsidRDefault="00194C32" w:rsidP="00194C32">
            <w:pPr>
              <w:pStyle w:val="TLTBodyText"/>
            </w:pPr>
            <w:r w:rsidRPr="00CC7E97">
              <w:t>The solution must ensure security log events and audit events are retained and available for a configurable period</w:t>
            </w:r>
            <w:r w:rsidR="004906B4" w:rsidRPr="00CC7E97">
              <w:t xml:space="preserve">.  </w:t>
            </w:r>
            <w:r w:rsidRPr="00CC7E97">
              <w:t>At a minimum, the solution must ensure security events and audit events (1) contain an accurate date and time stamp (2) are verbose enough to support effective security incident management and forensics (3) are stored and made available for a minimum of 90 days for services that can be accessed from the internet and a minimum of 13 months for services that are accessed using a MOJ, HMCTS or Government identity (5) should not be retained for longer than 2 years without specific approval from HMCTS</w:t>
            </w:r>
          </w:p>
        </w:tc>
      </w:tr>
      <w:tr w:rsidR="00194C32" w:rsidRPr="00CC7E97" w14:paraId="7231FD5F"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B8F0665" w14:textId="77777777" w:rsidR="00194C32" w:rsidRPr="00CC7E97" w:rsidRDefault="00194C32" w:rsidP="00194C32">
            <w:pPr>
              <w:pStyle w:val="TLTBodyText"/>
            </w:pPr>
            <w:r w:rsidRPr="00CC7E97">
              <w:t>SEC-08-008</w:t>
            </w:r>
          </w:p>
        </w:tc>
        <w:tc>
          <w:tcPr>
            <w:tcW w:w="1995" w:type="dxa"/>
            <w:tcBorders>
              <w:top w:val="nil"/>
              <w:left w:val="nil"/>
              <w:bottom w:val="single" w:sz="4" w:space="0" w:color="auto"/>
              <w:right w:val="single" w:sz="4" w:space="0" w:color="auto"/>
            </w:tcBorders>
            <w:shd w:val="clear" w:color="auto" w:fill="auto"/>
            <w:hideMark/>
          </w:tcPr>
          <w:p w14:paraId="28F51BD9"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5E3A0E6D" w14:textId="77777777" w:rsidR="00194C32" w:rsidRPr="00CC7E97" w:rsidRDefault="00194C32" w:rsidP="00194C32">
            <w:pPr>
              <w:pStyle w:val="TLTBodyText"/>
              <w:rPr>
                <w:color w:val="000000"/>
              </w:rPr>
            </w:pPr>
            <w:r w:rsidRPr="00CC7E97">
              <w:rPr>
                <w:color w:val="000000"/>
              </w:rPr>
              <w:t>Security Monitoring</w:t>
            </w:r>
          </w:p>
        </w:tc>
        <w:tc>
          <w:tcPr>
            <w:tcW w:w="1550" w:type="dxa"/>
            <w:tcBorders>
              <w:top w:val="nil"/>
              <w:left w:val="nil"/>
              <w:bottom w:val="single" w:sz="4" w:space="0" w:color="auto"/>
              <w:right w:val="single" w:sz="4" w:space="0" w:color="auto"/>
            </w:tcBorders>
            <w:shd w:val="clear" w:color="auto" w:fill="auto"/>
            <w:hideMark/>
          </w:tcPr>
          <w:p w14:paraId="74484715" w14:textId="77777777" w:rsidR="00194C32" w:rsidRPr="00CC7E97" w:rsidRDefault="00194C32" w:rsidP="00194C32">
            <w:pPr>
              <w:pStyle w:val="TLTBodyText"/>
              <w:rPr>
                <w:color w:val="000000"/>
              </w:rPr>
            </w:pPr>
            <w:r w:rsidRPr="00CC7E97">
              <w:rPr>
                <w:color w:val="000000"/>
              </w:rPr>
              <w:t xml:space="preserve">(C) Detecting Cyber Security Events </w:t>
            </w:r>
          </w:p>
        </w:tc>
        <w:tc>
          <w:tcPr>
            <w:tcW w:w="1466" w:type="dxa"/>
            <w:tcBorders>
              <w:top w:val="nil"/>
              <w:left w:val="nil"/>
              <w:bottom w:val="single" w:sz="4" w:space="0" w:color="auto"/>
              <w:right w:val="single" w:sz="4" w:space="0" w:color="auto"/>
            </w:tcBorders>
            <w:shd w:val="clear" w:color="auto" w:fill="auto"/>
            <w:hideMark/>
          </w:tcPr>
          <w:p w14:paraId="13DBE884"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7673DB67"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5B4FB3F"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1B179168" w14:textId="77777777" w:rsidR="00194C32" w:rsidRPr="00CC7E97" w:rsidRDefault="00194C32" w:rsidP="00194C32">
            <w:pPr>
              <w:pStyle w:val="TLTBodyText"/>
            </w:pPr>
            <w:r w:rsidRPr="00CC7E97">
              <w:t>The supplier must ensure the solution is under 24x7x365 security monitoring to detect suspicious and unauthorised activities based on NCSC Security Monitoring guidance (</w:t>
            </w:r>
            <w:hyperlink r:id="rId16" w:history="1">
              <w:r w:rsidR="00571AD5" w:rsidRPr="00B4556A">
                <w:rPr>
                  <w:rStyle w:val="Hyperlink"/>
                </w:rPr>
                <w:t>https://www.ncsc.gov.uk/files/NCSC_SOC_Feeds.pdf</w:t>
              </w:r>
            </w:hyperlink>
            <w:r w:rsidRPr="00CC7E97">
              <w:t>)</w:t>
            </w:r>
          </w:p>
        </w:tc>
      </w:tr>
      <w:tr w:rsidR="00194C32" w:rsidRPr="00CC7E97" w14:paraId="029FDD8C"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02D2275E" w14:textId="77777777" w:rsidR="00194C32" w:rsidRPr="00CC7E97" w:rsidRDefault="00194C32" w:rsidP="00194C32">
            <w:pPr>
              <w:pStyle w:val="TLTBodyText"/>
            </w:pPr>
            <w:r w:rsidRPr="00CC7E97">
              <w:lastRenderedPageBreak/>
              <w:t>SEC-08-009</w:t>
            </w:r>
          </w:p>
        </w:tc>
        <w:tc>
          <w:tcPr>
            <w:tcW w:w="1995" w:type="dxa"/>
            <w:tcBorders>
              <w:top w:val="nil"/>
              <w:left w:val="nil"/>
              <w:bottom w:val="single" w:sz="4" w:space="0" w:color="auto"/>
              <w:right w:val="single" w:sz="4" w:space="0" w:color="auto"/>
            </w:tcBorders>
            <w:shd w:val="clear" w:color="auto" w:fill="auto"/>
            <w:hideMark/>
          </w:tcPr>
          <w:p w14:paraId="533CEC62"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63453E06" w14:textId="77777777" w:rsidR="00194C32" w:rsidRPr="00CC7E97" w:rsidRDefault="00194C32" w:rsidP="00194C32">
            <w:pPr>
              <w:pStyle w:val="TLTBodyText"/>
              <w:rPr>
                <w:color w:val="000000"/>
              </w:rPr>
            </w:pPr>
            <w:r w:rsidRPr="00CC7E97">
              <w:rPr>
                <w:color w:val="000000"/>
              </w:rPr>
              <w:t>Security Monitoring</w:t>
            </w:r>
          </w:p>
        </w:tc>
        <w:tc>
          <w:tcPr>
            <w:tcW w:w="1550" w:type="dxa"/>
            <w:tcBorders>
              <w:top w:val="nil"/>
              <w:left w:val="nil"/>
              <w:bottom w:val="single" w:sz="4" w:space="0" w:color="auto"/>
              <w:right w:val="single" w:sz="4" w:space="0" w:color="auto"/>
            </w:tcBorders>
            <w:shd w:val="clear" w:color="auto" w:fill="auto"/>
            <w:hideMark/>
          </w:tcPr>
          <w:p w14:paraId="72695587" w14:textId="77777777" w:rsidR="00194C32" w:rsidRPr="00CC7E97" w:rsidRDefault="00194C32" w:rsidP="00194C32">
            <w:pPr>
              <w:pStyle w:val="TLTBodyText"/>
              <w:rPr>
                <w:color w:val="000000"/>
              </w:rPr>
            </w:pPr>
            <w:r w:rsidRPr="00CC7E97">
              <w:rPr>
                <w:color w:val="000000"/>
              </w:rPr>
              <w:t xml:space="preserve">(C) Detecting Cyber Security Events </w:t>
            </w:r>
          </w:p>
        </w:tc>
        <w:tc>
          <w:tcPr>
            <w:tcW w:w="1466" w:type="dxa"/>
            <w:tcBorders>
              <w:top w:val="nil"/>
              <w:left w:val="nil"/>
              <w:bottom w:val="single" w:sz="4" w:space="0" w:color="auto"/>
              <w:right w:val="single" w:sz="4" w:space="0" w:color="auto"/>
            </w:tcBorders>
            <w:shd w:val="clear" w:color="auto" w:fill="auto"/>
            <w:hideMark/>
          </w:tcPr>
          <w:p w14:paraId="4E0304B8"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64D8D73D"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6DC63B8A"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68E70B0D" w14:textId="77777777" w:rsidR="00194C32" w:rsidRPr="00CC7E97" w:rsidRDefault="00194C32" w:rsidP="00194C32">
            <w:pPr>
              <w:pStyle w:val="TLTBodyText"/>
            </w:pPr>
            <w:r w:rsidRPr="00CC7E97">
              <w:t>The supplier should provide an automated mechanism to export security event logs to HMCTS security monitoring systems.</w:t>
            </w:r>
          </w:p>
        </w:tc>
      </w:tr>
      <w:tr w:rsidR="00194C32" w:rsidRPr="00CC7E97" w14:paraId="528A9E69"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4A0305F2" w14:textId="77777777" w:rsidR="00194C32" w:rsidRPr="00CC7E97" w:rsidRDefault="00194C32" w:rsidP="00194C32">
            <w:pPr>
              <w:pStyle w:val="TLTBodyText"/>
            </w:pPr>
            <w:r w:rsidRPr="00CC7E97">
              <w:t>SEC-08-010</w:t>
            </w:r>
          </w:p>
        </w:tc>
        <w:tc>
          <w:tcPr>
            <w:tcW w:w="1995" w:type="dxa"/>
            <w:tcBorders>
              <w:top w:val="nil"/>
              <w:left w:val="nil"/>
              <w:bottom w:val="single" w:sz="4" w:space="0" w:color="auto"/>
              <w:right w:val="single" w:sz="4" w:space="0" w:color="auto"/>
            </w:tcBorders>
            <w:shd w:val="clear" w:color="auto" w:fill="auto"/>
            <w:hideMark/>
          </w:tcPr>
          <w:p w14:paraId="7107F6B2"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598FFD14" w14:textId="77777777" w:rsidR="00194C32" w:rsidRPr="00CC7E97" w:rsidRDefault="00194C32" w:rsidP="00194C32">
            <w:pPr>
              <w:pStyle w:val="TLTBodyText"/>
              <w:rPr>
                <w:color w:val="000000"/>
              </w:rPr>
            </w:pPr>
            <w:r w:rsidRPr="00CC7E97">
              <w:rPr>
                <w:color w:val="000000"/>
              </w:rPr>
              <w:t>Technical Vulnerability Management</w:t>
            </w:r>
          </w:p>
        </w:tc>
        <w:tc>
          <w:tcPr>
            <w:tcW w:w="1550" w:type="dxa"/>
            <w:tcBorders>
              <w:top w:val="nil"/>
              <w:left w:val="nil"/>
              <w:bottom w:val="single" w:sz="4" w:space="0" w:color="auto"/>
              <w:right w:val="single" w:sz="4" w:space="0" w:color="auto"/>
            </w:tcBorders>
            <w:shd w:val="clear" w:color="auto" w:fill="auto"/>
            <w:hideMark/>
          </w:tcPr>
          <w:p w14:paraId="03ECD032"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2EFBBF2B"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0AE1A685"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0DBE0440"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4DB5CD1D" w14:textId="77777777" w:rsidR="00194C32" w:rsidRPr="00CC7E97" w:rsidRDefault="00194C32" w:rsidP="00194C32">
            <w:pPr>
              <w:pStyle w:val="TLTBodyText"/>
            </w:pPr>
            <w:r w:rsidRPr="00CC7E97">
              <w:t>The supplier must perform regular vulnerability scanning of all the components within the solution</w:t>
            </w:r>
            <w:r w:rsidR="004906B4" w:rsidRPr="00CC7E97">
              <w:t xml:space="preserve">.  </w:t>
            </w:r>
            <w:r w:rsidRPr="00CC7E97">
              <w:t>At a minimum, the scope must include (1) devices (2) infrastructure (3) software (4) firmware (5) software dependencies (6) application code analysis (SAST and DAST).</w:t>
            </w:r>
          </w:p>
        </w:tc>
      </w:tr>
      <w:tr w:rsidR="00194C32" w:rsidRPr="00CC7E97" w14:paraId="5E782482"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AEC09EC" w14:textId="77777777" w:rsidR="00194C32" w:rsidRPr="00CC7E97" w:rsidRDefault="00194C32" w:rsidP="00194C32">
            <w:pPr>
              <w:pStyle w:val="TLTBodyText"/>
            </w:pPr>
            <w:r w:rsidRPr="00CC7E97">
              <w:t>SEC-08-011</w:t>
            </w:r>
          </w:p>
        </w:tc>
        <w:tc>
          <w:tcPr>
            <w:tcW w:w="1995" w:type="dxa"/>
            <w:tcBorders>
              <w:top w:val="nil"/>
              <w:left w:val="nil"/>
              <w:bottom w:val="single" w:sz="4" w:space="0" w:color="auto"/>
              <w:right w:val="single" w:sz="4" w:space="0" w:color="auto"/>
            </w:tcBorders>
            <w:shd w:val="clear" w:color="auto" w:fill="auto"/>
            <w:hideMark/>
          </w:tcPr>
          <w:p w14:paraId="3C456C2A"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4E536165" w14:textId="77777777" w:rsidR="00194C32" w:rsidRPr="00CC7E97" w:rsidRDefault="00194C32" w:rsidP="00194C32">
            <w:pPr>
              <w:pStyle w:val="TLTBodyText"/>
              <w:rPr>
                <w:color w:val="000000"/>
              </w:rPr>
            </w:pPr>
            <w:r w:rsidRPr="00CC7E97">
              <w:rPr>
                <w:color w:val="000000"/>
              </w:rPr>
              <w:t>Technical Vulnerability Management</w:t>
            </w:r>
          </w:p>
        </w:tc>
        <w:tc>
          <w:tcPr>
            <w:tcW w:w="1550" w:type="dxa"/>
            <w:tcBorders>
              <w:top w:val="nil"/>
              <w:left w:val="nil"/>
              <w:bottom w:val="single" w:sz="4" w:space="0" w:color="auto"/>
              <w:right w:val="single" w:sz="4" w:space="0" w:color="auto"/>
            </w:tcBorders>
            <w:shd w:val="clear" w:color="auto" w:fill="auto"/>
            <w:hideMark/>
          </w:tcPr>
          <w:p w14:paraId="6FCC4D3C"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0BBBE612"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4275E9F9"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09DE074"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03B8AAAB" w14:textId="77777777" w:rsidR="00194C32" w:rsidRPr="00CC7E97" w:rsidRDefault="00194C32" w:rsidP="00194C32">
            <w:pPr>
              <w:pStyle w:val="TLTBodyText"/>
            </w:pPr>
            <w:r w:rsidRPr="00CC7E97">
              <w:t xml:space="preserve">The supplier must remediate all vulnerabilities in accordance with the </w:t>
            </w:r>
            <w:r w:rsidRPr="00CC7E97">
              <w:rPr>
                <w:b/>
                <w:bCs/>
              </w:rPr>
              <w:t xml:space="preserve">HMCTS Vulnerability Management Policy </w:t>
            </w:r>
            <w:r w:rsidRPr="00CC7E97">
              <w:t>as shared</w:t>
            </w:r>
            <w:r w:rsidR="004906B4" w:rsidRPr="00CC7E97">
              <w:t xml:space="preserve">.  </w:t>
            </w:r>
            <w:r w:rsidRPr="00CC7E97">
              <w:t xml:space="preserve">At a </w:t>
            </w:r>
            <w:proofErr w:type="gramStart"/>
            <w:r w:rsidRPr="00CC7E97">
              <w:t>minimum CRITICAL severity vulnerabilities</w:t>
            </w:r>
            <w:proofErr w:type="gramEnd"/>
            <w:r w:rsidRPr="00CC7E97">
              <w:t xml:space="preserve"> must be remediated as soon as reasonably practical (take first priority) and HIGH severity vulnerabilities remediated within </w:t>
            </w:r>
            <w:r w:rsidR="00571AD5">
              <w:t>seven</w:t>
            </w:r>
            <w:r w:rsidRPr="00CC7E97">
              <w:t xml:space="preserve"> days.</w:t>
            </w:r>
          </w:p>
        </w:tc>
      </w:tr>
      <w:tr w:rsidR="00194C32" w:rsidRPr="00CC7E97" w14:paraId="7528EDE5"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421D6685" w14:textId="77777777" w:rsidR="00194C32" w:rsidRPr="00CC7E97" w:rsidRDefault="00194C32" w:rsidP="00194C32">
            <w:pPr>
              <w:pStyle w:val="TLTBodyText"/>
            </w:pPr>
            <w:r w:rsidRPr="00CC7E97">
              <w:t>SEC-08-012</w:t>
            </w:r>
          </w:p>
        </w:tc>
        <w:tc>
          <w:tcPr>
            <w:tcW w:w="1995" w:type="dxa"/>
            <w:tcBorders>
              <w:top w:val="nil"/>
              <w:left w:val="nil"/>
              <w:bottom w:val="single" w:sz="4" w:space="0" w:color="auto"/>
              <w:right w:val="single" w:sz="4" w:space="0" w:color="auto"/>
            </w:tcBorders>
            <w:shd w:val="clear" w:color="auto" w:fill="auto"/>
            <w:hideMark/>
          </w:tcPr>
          <w:p w14:paraId="7CF2C73E"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08D287F1" w14:textId="77777777" w:rsidR="00194C32" w:rsidRPr="00CC7E97" w:rsidRDefault="00194C32" w:rsidP="00194C32">
            <w:pPr>
              <w:pStyle w:val="TLTBodyText"/>
              <w:rPr>
                <w:color w:val="000000"/>
              </w:rPr>
            </w:pPr>
            <w:proofErr w:type="spellStart"/>
            <w:r w:rsidRPr="00CC7E97">
              <w:rPr>
                <w:color w:val="000000"/>
              </w:rPr>
              <w:t>SyOPs</w:t>
            </w:r>
            <w:proofErr w:type="spellEnd"/>
          </w:p>
        </w:tc>
        <w:tc>
          <w:tcPr>
            <w:tcW w:w="1550" w:type="dxa"/>
            <w:tcBorders>
              <w:top w:val="nil"/>
              <w:left w:val="nil"/>
              <w:bottom w:val="single" w:sz="4" w:space="0" w:color="auto"/>
              <w:right w:val="single" w:sz="4" w:space="0" w:color="auto"/>
            </w:tcBorders>
            <w:shd w:val="clear" w:color="auto" w:fill="auto"/>
            <w:hideMark/>
          </w:tcPr>
          <w:p w14:paraId="0FB5EA1E"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50E331E7"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36FE3CD1"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526FE5DB"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29D1EAC9" w14:textId="77777777" w:rsidR="00194C32" w:rsidRPr="00CC7E97" w:rsidRDefault="00194C32" w:rsidP="00194C32">
            <w:pPr>
              <w:pStyle w:val="TLTBodyText"/>
            </w:pPr>
            <w:r w:rsidRPr="00CC7E97">
              <w:t>The supplier should comply with any Security Operating Procedures (</w:t>
            </w:r>
            <w:proofErr w:type="spellStart"/>
            <w:r w:rsidRPr="00CC7E97">
              <w:t>SyOPs</w:t>
            </w:r>
            <w:proofErr w:type="spellEnd"/>
            <w:r w:rsidRPr="00CC7E97">
              <w:t>) that have been issued to HMCTS by organisations for which HMCTS processes data</w:t>
            </w:r>
            <w:r w:rsidR="004906B4" w:rsidRPr="00CC7E97">
              <w:t xml:space="preserve">.  </w:t>
            </w:r>
            <w:r w:rsidRPr="00CC7E97">
              <w:t xml:space="preserve">At a minimum, this should include </w:t>
            </w:r>
            <w:proofErr w:type="spellStart"/>
            <w:r w:rsidRPr="00CC7E97">
              <w:t>SyOPs</w:t>
            </w:r>
            <w:proofErr w:type="spellEnd"/>
            <w:r w:rsidRPr="00CC7E97">
              <w:t xml:space="preserve"> from (1) Home Office (2) MoJ (3) Judiciary</w:t>
            </w:r>
          </w:p>
        </w:tc>
      </w:tr>
      <w:tr w:rsidR="00194C32" w:rsidRPr="00CC7E97" w14:paraId="36AEC825"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3E3B51F8" w14:textId="77777777" w:rsidR="00194C32" w:rsidRPr="00CC7E97" w:rsidRDefault="00194C32" w:rsidP="00194C32">
            <w:pPr>
              <w:pStyle w:val="TLTBodyText"/>
            </w:pPr>
            <w:r w:rsidRPr="00CC7E97">
              <w:t>SEC-08-013</w:t>
            </w:r>
          </w:p>
        </w:tc>
        <w:tc>
          <w:tcPr>
            <w:tcW w:w="1995" w:type="dxa"/>
            <w:tcBorders>
              <w:top w:val="nil"/>
              <w:left w:val="nil"/>
              <w:bottom w:val="single" w:sz="4" w:space="0" w:color="auto"/>
              <w:right w:val="single" w:sz="4" w:space="0" w:color="auto"/>
            </w:tcBorders>
            <w:shd w:val="clear" w:color="auto" w:fill="auto"/>
            <w:hideMark/>
          </w:tcPr>
          <w:p w14:paraId="04C4609A" w14:textId="77777777" w:rsidR="00194C32" w:rsidRPr="00CC7E97" w:rsidRDefault="00194C32" w:rsidP="00194C32">
            <w:pPr>
              <w:pStyle w:val="TLTBodyText"/>
              <w:rPr>
                <w:color w:val="000000"/>
              </w:rPr>
            </w:pPr>
            <w:r w:rsidRPr="00CC7E97">
              <w:rPr>
                <w:color w:val="000000"/>
              </w:rPr>
              <w:t>Operations Security</w:t>
            </w:r>
          </w:p>
        </w:tc>
        <w:tc>
          <w:tcPr>
            <w:tcW w:w="1795" w:type="dxa"/>
            <w:tcBorders>
              <w:top w:val="nil"/>
              <w:left w:val="nil"/>
              <w:bottom w:val="single" w:sz="4" w:space="0" w:color="auto"/>
              <w:right w:val="single" w:sz="4" w:space="0" w:color="auto"/>
            </w:tcBorders>
            <w:shd w:val="clear" w:color="auto" w:fill="auto"/>
            <w:hideMark/>
          </w:tcPr>
          <w:p w14:paraId="7CBAAEB0" w14:textId="77777777" w:rsidR="00194C32" w:rsidRPr="00CC7E97" w:rsidRDefault="00194C32" w:rsidP="00194C32">
            <w:pPr>
              <w:pStyle w:val="TLTBodyText"/>
              <w:rPr>
                <w:color w:val="000000"/>
              </w:rPr>
            </w:pPr>
            <w:r w:rsidRPr="00CC7E97">
              <w:rPr>
                <w:color w:val="000000"/>
              </w:rPr>
              <w:t>Technical Vulnerability Management</w:t>
            </w:r>
          </w:p>
        </w:tc>
        <w:tc>
          <w:tcPr>
            <w:tcW w:w="1550" w:type="dxa"/>
            <w:tcBorders>
              <w:top w:val="nil"/>
              <w:left w:val="nil"/>
              <w:bottom w:val="single" w:sz="4" w:space="0" w:color="auto"/>
              <w:right w:val="single" w:sz="4" w:space="0" w:color="auto"/>
            </w:tcBorders>
            <w:shd w:val="clear" w:color="auto" w:fill="auto"/>
            <w:hideMark/>
          </w:tcPr>
          <w:p w14:paraId="20CC7F5D"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603EDC23"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690243F"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42CB768E" w14:textId="77777777" w:rsidR="00194C32" w:rsidRPr="00CC7E97" w:rsidRDefault="00194C32" w:rsidP="00194C32">
            <w:pPr>
              <w:pStyle w:val="TLTBodyText"/>
              <w:rPr>
                <w:color w:val="000000"/>
              </w:rPr>
            </w:pPr>
            <w:r w:rsidRPr="00CC7E97">
              <w:rPr>
                <w:color w:val="000000"/>
              </w:rPr>
              <w:t>Reports</w:t>
            </w:r>
          </w:p>
        </w:tc>
        <w:tc>
          <w:tcPr>
            <w:tcW w:w="4821" w:type="dxa"/>
            <w:tcBorders>
              <w:top w:val="nil"/>
              <w:left w:val="nil"/>
              <w:bottom w:val="single" w:sz="4" w:space="0" w:color="auto"/>
              <w:right w:val="single" w:sz="4" w:space="0" w:color="auto"/>
            </w:tcBorders>
            <w:shd w:val="clear" w:color="auto" w:fill="auto"/>
            <w:hideMark/>
          </w:tcPr>
          <w:p w14:paraId="128FEE1F" w14:textId="77777777" w:rsidR="00194C32" w:rsidRPr="00CC7E97" w:rsidRDefault="00194C32" w:rsidP="00194C32">
            <w:pPr>
              <w:pStyle w:val="TLTBodyText"/>
            </w:pPr>
            <w:r w:rsidRPr="00CC7E97">
              <w:t>The supplier should provide regular reporting on vulnerability management</w:t>
            </w:r>
            <w:r w:rsidR="004906B4" w:rsidRPr="00CC7E97">
              <w:t xml:space="preserve">.  </w:t>
            </w:r>
            <w:r w:rsidRPr="00CC7E97">
              <w:t>At a minimum, this should include information relating to (1) vulnerabilities detected (2) exploitability (3) mitigating controls (4) recommendations for remediation (5) remediation progress.</w:t>
            </w:r>
          </w:p>
        </w:tc>
      </w:tr>
      <w:tr w:rsidR="00194C32" w:rsidRPr="00CC7E97" w14:paraId="4BD09F04"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6A4105B6" w14:textId="77777777" w:rsidR="00194C32" w:rsidRPr="00CC7E97" w:rsidRDefault="00194C32" w:rsidP="00194C32">
            <w:pPr>
              <w:pStyle w:val="TLTBodyText"/>
            </w:pPr>
            <w:r w:rsidRPr="00CC7E97">
              <w:lastRenderedPageBreak/>
              <w:t>SEC-09-001</w:t>
            </w:r>
          </w:p>
        </w:tc>
        <w:tc>
          <w:tcPr>
            <w:tcW w:w="1995" w:type="dxa"/>
            <w:tcBorders>
              <w:top w:val="nil"/>
              <w:left w:val="nil"/>
              <w:bottom w:val="single" w:sz="4" w:space="0" w:color="auto"/>
              <w:right w:val="single" w:sz="4" w:space="0" w:color="auto"/>
            </w:tcBorders>
            <w:shd w:val="clear" w:color="auto" w:fill="auto"/>
            <w:hideMark/>
          </w:tcPr>
          <w:p w14:paraId="5B8501E3" w14:textId="77777777" w:rsidR="00194C32" w:rsidRPr="00CC7E97" w:rsidRDefault="00194C32" w:rsidP="00194C32">
            <w:pPr>
              <w:pStyle w:val="TLTBodyText"/>
              <w:rPr>
                <w:color w:val="000000"/>
              </w:rPr>
            </w:pPr>
            <w:r w:rsidRPr="00CC7E97">
              <w:rPr>
                <w:color w:val="000000"/>
              </w:rPr>
              <w:t>Communications Security</w:t>
            </w:r>
          </w:p>
        </w:tc>
        <w:tc>
          <w:tcPr>
            <w:tcW w:w="1795" w:type="dxa"/>
            <w:tcBorders>
              <w:top w:val="nil"/>
              <w:left w:val="nil"/>
              <w:bottom w:val="single" w:sz="4" w:space="0" w:color="auto"/>
              <w:right w:val="single" w:sz="4" w:space="0" w:color="auto"/>
            </w:tcBorders>
            <w:shd w:val="clear" w:color="auto" w:fill="auto"/>
            <w:hideMark/>
          </w:tcPr>
          <w:p w14:paraId="18A65B73" w14:textId="77777777" w:rsidR="00194C32" w:rsidRPr="00CC7E97" w:rsidRDefault="00194C32" w:rsidP="00194C32">
            <w:pPr>
              <w:pStyle w:val="TLTBodyText"/>
              <w:rPr>
                <w:color w:val="000000"/>
              </w:rPr>
            </w:pPr>
            <w:r w:rsidRPr="00CC7E97">
              <w:rPr>
                <w:color w:val="000000"/>
              </w:rPr>
              <w:t>Network Security</w:t>
            </w:r>
          </w:p>
        </w:tc>
        <w:tc>
          <w:tcPr>
            <w:tcW w:w="1550" w:type="dxa"/>
            <w:tcBorders>
              <w:top w:val="nil"/>
              <w:left w:val="nil"/>
              <w:bottom w:val="single" w:sz="4" w:space="0" w:color="auto"/>
              <w:right w:val="single" w:sz="4" w:space="0" w:color="auto"/>
            </w:tcBorders>
            <w:shd w:val="clear" w:color="auto" w:fill="auto"/>
            <w:hideMark/>
          </w:tcPr>
          <w:p w14:paraId="410F1987"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7B532635"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3FEDBB1C"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1E3004C1"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333322F3" w14:textId="77777777" w:rsidR="00194C32" w:rsidRPr="00CC7E97" w:rsidRDefault="00194C32" w:rsidP="00194C32">
            <w:pPr>
              <w:pStyle w:val="TLTBodyText"/>
            </w:pPr>
            <w:r w:rsidRPr="00CC7E97">
              <w:t>The solution must implement network security controls to make a network compromise difficult or reduce the impact of any network-based attack</w:t>
            </w:r>
            <w:r w:rsidR="004906B4" w:rsidRPr="00CC7E97">
              <w:t xml:space="preserve">.  </w:t>
            </w:r>
            <w:r w:rsidRPr="00CC7E97">
              <w:t>At a minimum, controls must include (1)  limiting all inbound and outbound traffic to only those sources/destinations and protocols required for the solution to function (2) network segmentation or zones (3) preventing lateral movement based on NCSC Preventing Lateral Movement Guidance (</w:t>
            </w:r>
            <w:hyperlink r:id="rId17" w:history="1">
              <w:r w:rsidR="00571AD5" w:rsidRPr="00B4556A">
                <w:rPr>
                  <w:rStyle w:val="Hyperlink"/>
                </w:rPr>
                <w:t>https://www.ncsc.gov.uk/guidance/preventing-lateral-movement</w:t>
              </w:r>
            </w:hyperlink>
            <w:r w:rsidRPr="00CC7E97">
              <w:t>) (4) preventing Denial-of-Service (DoS) attacks.</w:t>
            </w:r>
          </w:p>
        </w:tc>
      </w:tr>
      <w:tr w:rsidR="00194C32" w:rsidRPr="00CC7E97" w14:paraId="4EF4EF07"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1D713505" w14:textId="77777777" w:rsidR="00194C32" w:rsidRPr="00CC7E97" w:rsidRDefault="00194C32" w:rsidP="00194C32">
            <w:pPr>
              <w:pStyle w:val="TLTBodyText"/>
            </w:pPr>
            <w:r w:rsidRPr="00CC7E97">
              <w:t>SEC-10-001</w:t>
            </w:r>
          </w:p>
        </w:tc>
        <w:tc>
          <w:tcPr>
            <w:tcW w:w="1995" w:type="dxa"/>
            <w:tcBorders>
              <w:top w:val="nil"/>
              <w:left w:val="nil"/>
              <w:bottom w:val="single" w:sz="4" w:space="0" w:color="auto"/>
              <w:right w:val="single" w:sz="4" w:space="0" w:color="auto"/>
            </w:tcBorders>
            <w:shd w:val="clear" w:color="auto" w:fill="auto"/>
            <w:hideMark/>
          </w:tcPr>
          <w:p w14:paraId="1B0BCF1E"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2F15849F" w14:textId="77777777" w:rsidR="00194C32" w:rsidRPr="00CC7E97" w:rsidRDefault="00194C32" w:rsidP="00194C32">
            <w:pPr>
              <w:pStyle w:val="TLTBodyText"/>
              <w:rPr>
                <w:color w:val="000000"/>
              </w:rPr>
            </w:pPr>
            <w:r w:rsidRPr="00CC7E97">
              <w:rPr>
                <w:color w:val="000000"/>
              </w:rPr>
              <w:t>Risk Assessments</w:t>
            </w:r>
          </w:p>
        </w:tc>
        <w:tc>
          <w:tcPr>
            <w:tcW w:w="1550" w:type="dxa"/>
            <w:tcBorders>
              <w:top w:val="nil"/>
              <w:left w:val="nil"/>
              <w:bottom w:val="single" w:sz="4" w:space="0" w:color="auto"/>
              <w:right w:val="single" w:sz="4" w:space="0" w:color="auto"/>
            </w:tcBorders>
            <w:shd w:val="clear" w:color="auto" w:fill="auto"/>
            <w:hideMark/>
          </w:tcPr>
          <w:p w14:paraId="678D8F9E"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3CCB81A8"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639DB07"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49482F1"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60704ADD" w14:textId="77777777" w:rsidR="00194C32" w:rsidRPr="00CC7E97" w:rsidRDefault="00194C32" w:rsidP="00194C32">
            <w:pPr>
              <w:pStyle w:val="TLTBodyText"/>
            </w:pPr>
            <w:r w:rsidRPr="00CC7E97">
              <w:t>The supplier must produce and maintain an information security risk assessment of the solution based on a formal risk assessment methodology and share the output with HMCTS in the form of a documented information security risk register</w:t>
            </w:r>
            <w:r w:rsidR="004906B4" w:rsidRPr="00CC7E97">
              <w:t xml:space="preserve">.  </w:t>
            </w:r>
            <w:r w:rsidRPr="00CC7E97">
              <w:t>At a minimum, the risk assessment must include (1) risk events (2) risk causes (3) risk impact (4) risk severity (5) mitigating controls</w:t>
            </w:r>
          </w:p>
        </w:tc>
      </w:tr>
      <w:tr w:rsidR="00194C32" w:rsidRPr="00CC7E97" w14:paraId="491BAEF1"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582CB38" w14:textId="77777777" w:rsidR="00194C32" w:rsidRPr="00CC7E97" w:rsidRDefault="00194C32" w:rsidP="00194C32">
            <w:pPr>
              <w:pStyle w:val="TLTBodyText"/>
            </w:pPr>
            <w:r w:rsidRPr="00CC7E97">
              <w:t>SEC-10-002</w:t>
            </w:r>
          </w:p>
        </w:tc>
        <w:tc>
          <w:tcPr>
            <w:tcW w:w="1995" w:type="dxa"/>
            <w:tcBorders>
              <w:top w:val="nil"/>
              <w:left w:val="nil"/>
              <w:bottom w:val="single" w:sz="4" w:space="0" w:color="auto"/>
              <w:right w:val="single" w:sz="4" w:space="0" w:color="auto"/>
            </w:tcBorders>
            <w:shd w:val="clear" w:color="auto" w:fill="auto"/>
            <w:hideMark/>
          </w:tcPr>
          <w:p w14:paraId="25BAD77F"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0BE9E6CD" w14:textId="77777777" w:rsidR="00194C32" w:rsidRPr="00CC7E97" w:rsidRDefault="00194C32" w:rsidP="00194C32">
            <w:pPr>
              <w:pStyle w:val="TLTBodyText"/>
              <w:rPr>
                <w:color w:val="000000"/>
              </w:rPr>
            </w:pPr>
            <w:r w:rsidRPr="00CC7E97">
              <w:rPr>
                <w:color w:val="000000"/>
              </w:rPr>
              <w:t>System Interfaces</w:t>
            </w:r>
          </w:p>
        </w:tc>
        <w:tc>
          <w:tcPr>
            <w:tcW w:w="1550" w:type="dxa"/>
            <w:tcBorders>
              <w:top w:val="nil"/>
              <w:left w:val="nil"/>
              <w:bottom w:val="single" w:sz="4" w:space="0" w:color="auto"/>
              <w:right w:val="single" w:sz="4" w:space="0" w:color="auto"/>
            </w:tcBorders>
            <w:shd w:val="clear" w:color="auto" w:fill="auto"/>
            <w:hideMark/>
          </w:tcPr>
          <w:p w14:paraId="2747FAC6"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0F6C4F88"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4933C077"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616B6793"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70716424" w14:textId="77777777" w:rsidR="00194C32" w:rsidRPr="00CC7E97" w:rsidRDefault="00194C32" w:rsidP="00194C32">
            <w:pPr>
              <w:pStyle w:val="TLTBodyText"/>
            </w:pPr>
            <w:r w:rsidRPr="00CC7E97">
              <w:t>The solution must ensure any system-to-system data flows or Application Programming Interfaces (APIs) are protected using Good Industry Practice security controls</w:t>
            </w:r>
            <w:r w:rsidR="004906B4" w:rsidRPr="00CC7E97">
              <w:t xml:space="preserve">.  </w:t>
            </w:r>
            <w:r w:rsidRPr="00CC7E97">
              <w:t>At a minimum, controls should include (1) authentication (2) integrity checking (3) encryption (4) limited data exposure (5) ensuring all third-party interfaces are covered by any MoU or other type of agreement.</w:t>
            </w:r>
          </w:p>
        </w:tc>
      </w:tr>
      <w:tr w:rsidR="00194C32" w:rsidRPr="00CC7E97" w14:paraId="11EF893B"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461322C0" w14:textId="77777777" w:rsidR="00194C32" w:rsidRPr="00CC7E97" w:rsidRDefault="00194C32" w:rsidP="00194C32">
            <w:pPr>
              <w:pStyle w:val="TLTBodyText"/>
            </w:pPr>
            <w:r w:rsidRPr="00CC7E97">
              <w:lastRenderedPageBreak/>
              <w:t>SEC-10-003</w:t>
            </w:r>
          </w:p>
        </w:tc>
        <w:tc>
          <w:tcPr>
            <w:tcW w:w="1995" w:type="dxa"/>
            <w:tcBorders>
              <w:top w:val="nil"/>
              <w:left w:val="nil"/>
              <w:bottom w:val="single" w:sz="4" w:space="0" w:color="auto"/>
              <w:right w:val="single" w:sz="4" w:space="0" w:color="auto"/>
            </w:tcBorders>
            <w:shd w:val="clear" w:color="auto" w:fill="auto"/>
            <w:hideMark/>
          </w:tcPr>
          <w:p w14:paraId="6728F95D"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29F347EB" w14:textId="77777777" w:rsidR="00194C32" w:rsidRPr="00CC7E97" w:rsidRDefault="00194C32" w:rsidP="00194C32">
            <w:pPr>
              <w:pStyle w:val="TLTBodyText"/>
              <w:rPr>
                <w:color w:val="000000"/>
              </w:rPr>
            </w:pPr>
            <w:r w:rsidRPr="00CC7E97">
              <w:rPr>
                <w:color w:val="000000"/>
              </w:rPr>
              <w:t>Technical Design Documentation</w:t>
            </w:r>
          </w:p>
        </w:tc>
        <w:tc>
          <w:tcPr>
            <w:tcW w:w="1550" w:type="dxa"/>
            <w:tcBorders>
              <w:top w:val="nil"/>
              <w:left w:val="nil"/>
              <w:bottom w:val="single" w:sz="4" w:space="0" w:color="auto"/>
              <w:right w:val="single" w:sz="4" w:space="0" w:color="auto"/>
            </w:tcBorders>
            <w:shd w:val="clear" w:color="auto" w:fill="auto"/>
            <w:hideMark/>
          </w:tcPr>
          <w:p w14:paraId="751AC1C2"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1E8822F2"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67B14DF1"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180800F4"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0619416C" w14:textId="77777777" w:rsidR="00194C32" w:rsidRPr="00CC7E97" w:rsidRDefault="00194C32" w:rsidP="00194C32">
            <w:pPr>
              <w:pStyle w:val="TLTBodyText"/>
            </w:pPr>
            <w:r w:rsidRPr="00CC7E97">
              <w:t>The solution technical design documents issued to HMCTS must explicitly detail how HMCTS technical security non-functional requirements and outcomes are being implemented or met</w:t>
            </w:r>
            <w:r w:rsidR="004906B4" w:rsidRPr="00CC7E97">
              <w:t xml:space="preserve">.  </w:t>
            </w:r>
            <w:r w:rsidRPr="00CC7E97">
              <w:t>At a minimum, all technical design documents must (1) include a dedicated security section (2) highlight any shortcomings against HMCTS technical security non-functional requirements (3) highlight any single point of failure that could impact the availability of the solution.</w:t>
            </w:r>
          </w:p>
        </w:tc>
      </w:tr>
      <w:tr w:rsidR="00194C32" w:rsidRPr="00CC7E97" w14:paraId="394310DE"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D704A5E" w14:textId="77777777" w:rsidR="00194C32" w:rsidRPr="00CC7E97" w:rsidRDefault="00194C32" w:rsidP="00194C32">
            <w:pPr>
              <w:pStyle w:val="TLTBodyText"/>
            </w:pPr>
            <w:r w:rsidRPr="00CC7E97">
              <w:t>SEC-10-004</w:t>
            </w:r>
          </w:p>
        </w:tc>
        <w:tc>
          <w:tcPr>
            <w:tcW w:w="1995" w:type="dxa"/>
            <w:tcBorders>
              <w:top w:val="nil"/>
              <w:left w:val="nil"/>
              <w:bottom w:val="single" w:sz="4" w:space="0" w:color="auto"/>
              <w:right w:val="single" w:sz="4" w:space="0" w:color="auto"/>
            </w:tcBorders>
            <w:shd w:val="clear" w:color="auto" w:fill="auto"/>
            <w:hideMark/>
          </w:tcPr>
          <w:p w14:paraId="47E1B8E3"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397EB3E8" w14:textId="77777777" w:rsidR="00194C32" w:rsidRPr="00CC7E97" w:rsidRDefault="00194C32" w:rsidP="00194C32">
            <w:pPr>
              <w:pStyle w:val="TLTBodyText"/>
              <w:rPr>
                <w:color w:val="000000"/>
              </w:rPr>
            </w:pPr>
            <w:r w:rsidRPr="00CC7E97">
              <w:rPr>
                <w:color w:val="000000"/>
              </w:rPr>
              <w:t>Secure Configuration</w:t>
            </w:r>
          </w:p>
        </w:tc>
        <w:tc>
          <w:tcPr>
            <w:tcW w:w="1550" w:type="dxa"/>
            <w:tcBorders>
              <w:top w:val="nil"/>
              <w:left w:val="nil"/>
              <w:bottom w:val="single" w:sz="4" w:space="0" w:color="auto"/>
              <w:right w:val="single" w:sz="4" w:space="0" w:color="auto"/>
            </w:tcBorders>
            <w:shd w:val="clear" w:color="auto" w:fill="auto"/>
            <w:hideMark/>
          </w:tcPr>
          <w:p w14:paraId="4CC8A425"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484E099D"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74D3B4A2"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78C59A91"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4FC7A649" w14:textId="77777777" w:rsidR="00194C32" w:rsidRPr="00CC7E97" w:rsidRDefault="00194C32" w:rsidP="00194C32">
            <w:pPr>
              <w:pStyle w:val="TLTBodyText"/>
            </w:pPr>
            <w:r w:rsidRPr="00CC7E97">
              <w:t>The solution components must be deployed and configured in accordance with any published and applicable secure deployment or configuration guides made available by Vendors, NCSC, or Centre for Internet Security (CIS)</w:t>
            </w:r>
            <w:r w:rsidR="004906B4" w:rsidRPr="00CC7E97">
              <w:t xml:space="preserve">.  </w:t>
            </w:r>
            <w:r w:rsidRPr="00CC7E97">
              <w:t>For example:</w:t>
            </w:r>
            <w:r w:rsidRPr="00CC7E97">
              <w:br/>
            </w:r>
            <w:r w:rsidRPr="00CC7E97">
              <w:br/>
              <w:t>Microsoft Cloud Security Benchmark (</w:t>
            </w:r>
            <w:hyperlink r:id="rId18" w:history="1">
              <w:r w:rsidR="00571AD5" w:rsidRPr="00B4556A">
                <w:rPr>
                  <w:rStyle w:val="Hyperlink"/>
                </w:rPr>
                <w:t>https://learn.microsoft.com/en-us/security/benchmark/azure/</w:t>
              </w:r>
            </w:hyperlink>
            <w:r w:rsidRPr="00CC7E97">
              <w:t>)</w:t>
            </w:r>
            <w:r w:rsidRPr="00CC7E97">
              <w:br/>
              <w:t>AWS Security Documentation (</w:t>
            </w:r>
            <w:hyperlink r:id="rId19" w:history="1">
              <w:r w:rsidR="00571AD5" w:rsidRPr="00B4556A">
                <w:rPr>
                  <w:rStyle w:val="Hyperlink"/>
                </w:rPr>
                <w:t>https://docs.aws.amazon.com/security/</w:t>
              </w:r>
            </w:hyperlink>
            <w:r w:rsidRPr="00CC7E97">
              <w:t>)</w:t>
            </w:r>
            <w:r w:rsidRPr="00CC7E97">
              <w:br/>
              <w:t>NCSC Device Security Guidance for Windows (</w:t>
            </w:r>
            <w:hyperlink r:id="rId20" w:history="1">
              <w:r w:rsidR="00571AD5" w:rsidRPr="00B4556A">
                <w:rPr>
                  <w:rStyle w:val="Hyperlink"/>
                </w:rPr>
                <w:t>https://www.ncsc.gov.uk/collection/device-security-guidance/platform-guides/windows</w:t>
              </w:r>
            </w:hyperlink>
            <w:r w:rsidRPr="00CC7E97">
              <w:t>)</w:t>
            </w:r>
            <w:r w:rsidRPr="00CC7E97">
              <w:br/>
              <w:t>CIS Benchmark for RHEL (</w:t>
            </w:r>
            <w:hyperlink r:id="rId21" w:history="1">
              <w:r w:rsidR="00571AD5" w:rsidRPr="00B4556A">
                <w:rPr>
                  <w:rStyle w:val="Hyperlink"/>
                </w:rPr>
                <w:t>https://www.cisecurity.org/benchmark/red_hat_linux</w:t>
              </w:r>
            </w:hyperlink>
            <w:r w:rsidRPr="00CC7E97">
              <w:t>)</w:t>
            </w:r>
          </w:p>
        </w:tc>
      </w:tr>
      <w:tr w:rsidR="00194C32" w:rsidRPr="00CC7E97" w14:paraId="4C10D16D"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5CEAE006" w14:textId="77777777" w:rsidR="00194C32" w:rsidRPr="00CC7E97" w:rsidRDefault="00194C32" w:rsidP="00194C32">
            <w:pPr>
              <w:pStyle w:val="TLTBodyText"/>
            </w:pPr>
            <w:r w:rsidRPr="00CC7E97">
              <w:t>SEC-10-005</w:t>
            </w:r>
          </w:p>
        </w:tc>
        <w:tc>
          <w:tcPr>
            <w:tcW w:w="1995" w:type="dxa"/>
            <w:tcBorders>
              <w:top w:val="nil"/>
              <w:left w:val="nil"/>
              <w:bottom w:val="single" w:sz="4" w:space="0" w:color="auto"/>
              <w:right w:val="single" w:sz="4" w:space="0" w:color="auto"/>
            </w:tcBorders>
            <w:shd w:val="clear" w:color="auto" w:fill="auto"/>
            <w:hideMark/>
          </w:tcPr>
          <w:p w14:paraId="39A13C0B"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7989411E" w14:textId="77777777" w:rsidR="00194C32" w:rsidRPr="00CC7E97" w:rsidRDefault="00194C32" w:rsidP="00194C32">
            <w:pPr>
              <w:pStyle w:val="TLTBodyText"/>
              <w:rPr>
                <w:color w:val="000000"/>
              </w:rPr>
            </w:pPr>
            <w:r w:rsidRPr="00CC7E97">
              <w:rPr>
                <w:color w:val="000000"/>
              </w:rPr>
              <w:t>NCSC CSP</w:t>
            </w:r>
          </w:p>
        </w:tc>
        <w:tc>
          <w:tcPr>
            <w:tcW w:w="1550" w:type="dxa"/>
            <w:tcBorders>
              <w:top w:val="nil"/>
              <w:left w:val="nil"/>
              <w:bottom w:val="single" w:sz="4" w:space="0" w:color="auto"/>
              <w:right w:val="single" w:sz="4" w:space="0" w:color="auto"/>
            </w:tcBorders>
            <w:shd w:val="clear" w:color="auto" w:fill="auto"/>
            <w:hideMark/>
          </w:tcPr>
          <w:p w14:paraId="219414E9"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48F2EF9B"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2ADEF9A8"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71C6E88"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000000" w:fill="FFFFFF"/>
            <w:hideMark/>
          </w:tcPr>
          <w:p w14:paraId="28C942B5" w14:textId="77777777" w:rsidR="00194C32" w:rsidRPr="00CC7E97" w:rsidRDefault="00194C32" w:rsidP="00194C32">
            <w:pPr>
              <w:pStyle w:val="TLTBodyText"/>
            </w:pPr>
            <w:r w:rsidRPr="00CC7E97">
              <w:t>The solution must meet all applicable requirements of the NCSC Cloud Security Principles (</w:t>
            </w:r>
            <w:hyperlink r:id="rId22" w:history="1">
              <w:r w:rsidR="00571AD5" w:rsidRPr="00B4556A">
                <w:rPr>
                  <w:rStyle w:val="Hyperlink"/>
                </w:rPr>
                <w:t>https://www.ncsc.gov.uk/collection/cloud/the-cloud-security-principles</w:t>
              </w:r>
            </w:hyperlink>
            <w:r w:rsidRPr="00CC7E97">
              <w:t>)</w:t>
            </w:r>
            <w:r w:rsidR="004906B4" w:rsidRPr="00CC7E97">
              <w:t xml:space="preserve">.  </w:t>
            </w:r>
            <w:r w:rsidRPr="00CC7E97">
              <w:t xml:space="preserve">At a minimum, all multi-tenant </w:t>
            </w:r>
            <w:r w:rsidRPr="00CC7E97">
              <w:lastRenderedPageBreak/>
              <w:t>cloud services must demonstrate how tenant separation or boundaries are implemented within compute, storage and data flows and networking.</w:t>
            </w:r>
          </w:p>
        </w:tc>
      </w:tr>
      <w:tr w:rsidR="00194C32" w:rsidRPr="00CC7E97" w14:paraId="7351B6FF"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3C3F1ADD" w14:textId="77777777" w:rsidR="00194C32" w:rsidRPr="00CC7E97" w:rsidRDefault="00194C32" w:rsidP="00194C32">
            <w:pPr>
              <w:pStyle w:val="TLTBodyText"/>
            </w:pPr>
            <w:r w:rsidRPr="00CC7E97">
              <w:lastRenderedPageBreak/>
              <w:t>SEC-10-006</w:t>
            </w:r>
          </w:p>
        </w:tc>
        <w:tc>
          <w:tcPr>
            <w:tcW w:w="1995" w:type="dxa"/>
            <w:tcBorders>
              <w:top w:val="nil"/>
              <w:left w:val="nil"/>
              <w:bottom w:val="single" w:sz="4" w:space="0" w:color="auto"/>
              <w:right w:val="single" w:sz="4" w:space="0" w:color="auto"/>
            </w:tcBorders>
            <w:shd w:val="clear" w:color="auto" w:fill="auto"/>
            <w:hideMark/>
          </w:tcPr>
          <w:p w14:paraId="5BF66913"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1729E11C" w14:textId="77777777" w:rsidR="00194C32" w:rsidRPr="00CC7E97" w:rsidRDefault="00194C32" w:rsidP="00194C32">
            <w:pPr>
              <w:pStyle w:val="TLTBodyText"/>
              <w:rPr>
                <w:color w:val="000000"/>
              </w:rPr>
            </w:pPr>
            <w:r w:rsidRPr="00CC7E97">
              <w:rPr>
                <w:color w:val="000000"/>
              </w:rPr>
              <w:t>NCSC CAF</w:t>
            </w:r>
          </w:p>
        </w:tc>
        <w:tc>
          <w:tcPr>
            <w:tcW w:w="1550" w:type="dxa"/>
            <w:tcBorders>
              <w:top w:val="nil"/>
              <w:left w:val="nil"/>
              <w:bottom w:val="single" w:sz="4" w:space="0" w:color="auto"/>
              <w:right w:val="single" w:sz="4" w:space="0" w:color="auto"/>
            </w:tcBorders>
            <w:shd w:val="clear" w:color="auto" w:fill="auto"/>
            <w:hideMark/>
          </w:tcPr>
          <w:p w14:paraId="3CADB588"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6F19EB62"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50680BA8"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42940C04"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000000" w:fill="FFFFFF"/>
            <w:hideMark/>
          </w:tcPr>
          <w:p w14:paraId="449DC314" w14:textId="77777777" w:rsidR="00194C32" w:rsidRPr="00CC7E97" w:rsidRDefault="00194C32" w:rsidP="00194C32">
            <w:pPr>
              <w:pStyle w:val="TLTBodyText"/>
            </w:pPr>
            <w:r w:rsidRPr="00CC7E97">
              <w:t xml:space="preserve">The supplier should share security related information about the solution </w:t>
            </w:r>
            <w:proofErr w:type="gramStart"/>
            <w:r w:rsidRPr="00CC7E97">
              <w:t>in order to</w:t>
            </w:r>
            <w:proofErr w:type="gramEnd"/>
            <w:r w:rsidRPr="00CC7E97">
              <w:t xml:space="preserve"> assist HMCTS in completing the NCSC Cyber Assessment Framework (CAF)(</w:t>
            </w:r>
            <w:hyperlink r:id="rId23" w:history="1">
              <w:r w:rsidR="00571AD5" w:rsidRPr="00B4556A">
                <w:rPr>
                  <w:rStyle w:val="Hyperlink"/>
                </w:rPr>
                <w:t>https://www.ncsc.gov.uk/collection/caf</w:t>
              </w:r>
            </w:hyperlink>
            <w:r w:rsidRPr="00CC7E97">
              <w:t>)</w:t>
            </w:r>
          </w:p>
        </w:tc>
      </w:tr>
      <w:tr w:rsidR="00194C32" w:rsidRPr="00CC7E97" w14:paraId="16E7ADF9"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0E64196" w14:textId="77777777" w:rsidR="00194C32" w:rsidRPr="00CC7E97" w:rsidRDefault="00194C32" w:rsidP="00194C32">
            <w:pPr>
              <w:pStyle w:val="TLTBodyText"/>
            </w:pPr>
            <w:r w:rsidRPr="00CC7E97">
              <w:t>SEC-10-007</w:t>
            </w:r>
          </w:p>
        </w:tc>
        <w:tc>
          <w:tcPr>
            <w:tcW w:w="1995" w:type="dxa"/>
            <w:tcBorders>
              <w:top w:val="nil"/>
              <w:left w:val="nil"/>
              <w:bottom w:val="single" w:sz="4" w:space="0" w:color="auto"/>
              <w:right w:val="single" w:sz="4" w:space="0" w:color="auto"/>
            </w:tcBorders>
            <w:shd w:val="clear" w:color="auto" w:fill="auto"/>
            <w:hideMark/>
          </w:tcPr>
          <w:p w14:paraId="3C6ECF2A"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020E5687" w14:textId="77777777" w:rsidR="00194C32" w:rsidRPr="00CC7E97" w:rsidRDefault="00194C32" w:rsidP="00194C32">
            <w:pPr>
              <w:pStyle w:val="TLTBodyText"/>
              <w:rPr>
                <w:color w:val="000000"/>
              </w:rPr>
            </w:pPr>
            <w:r w:rsidRPr="00CC7E97">
              <w:rPr>
                <w:color w:val="000000"/>
              </w:rPr>
              <w:t>NCSC SDP</w:t>
            </w:r>
          </w:p>
        </w:tc>
        <w:tc>
          <w:tcPr>
            <w:tcW w:w="1550" w:type="dxa"/>
            <w:tcBorders>
              <w:top w:val="nil"/>
              <w:left w:val="nil"/>
              <w:bottom w:val="single" w:sz="4" w:space="0" w:color="auto"/>
              <w:right w:val="single" w:sz="4" w:space="0" w:color="auto"/>
            </w:tcBorders>
            <w:shd w:val="clear" w:color="auto" w:fill="auto"/>
            <w:hideMark/>
          </w:tcPr>
          <w:p w14:paraId="7B1A2B77"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36027DCD"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18A0FEE9"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735FF786"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000000" w:fill="FFFFFF"/>
            <w:hideMark/>
          </w:tcPr>
          <w:p w14:paraId="43A7C970" w14:textId="77777777" w:rsidR="00194C32" w:rsidRPr="00CC7E97" w:rsidRDefault="00194C32" w:rsidP="00194C32">
            <w:pPr>
              <w:pStyle w:val="TLTBodyText"/>
            </w:pPr>
            <w:r w:rsidRPr="00CC7E97">
              <w:t>The solution must demonstrate implementation of the NCSC Secure Design Principles (</w:t>
            </w:r>
            <w:hyperlink r:id="rId24" w:history="1">
              <w:r w:rsidR="00571AD5" w:rsidRPr="00B4556A">
                <w:rPr>
                  <w:rStyle w:val="Hyperlink"/>
                </w:rPr>
                <w:t>https://www.ncsc.gov.uk/collection/cyber-security-design-principles/cyber-security-design-principles</w:t>
              </w:r>
            </w:hyperlink>
            <w:r w:rsidRPr="00CC7E97">
              <w:t>).</w:t>
            </w:r>
          </w:p>
        </w:tc>
      </w:tr>
      <w:tr w:rsidR="00194C32" w:rsidRPr="00CC7E97" w14:paraId="5B96FA7A"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5109EC98" w14:textId="77777777" w:rsidR="00194C32" w:rsidRPr="00CC7E97" w:rsidRDefault="00194C32" w:rsidP="00194C32">
            <w:pPr>
              <w:pStyle w:val="TLTBodyText"/>
            </w:pPr>
            <w:r w:rsidRPr="00CC7E97">
              <w:t>SEC-10-008</w:t>
            </w:r>
          </w:p>
        </w:tc>
        <w:tc>
          <w:tcPr>
            <w:tcW w:w="1995" w:type="dxa"/>
            <w:tcBorders>
              <w:top w:val="nil"/>
              <w:left w:val="nil"/>
              <w:bottom w:val="single" w:sz="4" w:space="0" w:color="auto"/>
              <w:right w:val="single" w:sz="4" w:space="0" w:color="auto"/>
            </w:tcBorders>
            <w:shd w:val="clear" w:color="auto" w:fill="auto"/>
            <w:hideMark/>
          </w:tcPr>
          <w:p w14:paraId="04C65379"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477CEAAD" w14:textId="77777777" w:rsidR="00194C32" w:rsidRPr="00CC7E97" w:rsidRDefault="00194C32" w:rsidP="00194C32">
            <w:pPr>
              <w:pStyle w:val="TLTBodyText"/>
              <w:rPr>
                <w:color w:val="000000"/>
              </w:rPr>
            </w:pPr>
            <w:r w:rsidRPr="00CC7E97">
              <w:rPr>
                <w:color w:val="000000"/>
              </w:rPr>
              <w:t>NCSC BPD</w:t>
            </w:r>
          </w:p>
        </w:tc>
        <w:tc>
          <w:tcPr>
            <w:tcW w:w="1550" w:type="dxa"/>
            <w:tcBorders>
              <w:top w:val="nil"/>
              <w:left w:val="nil"/>
              <w:bottom w:val="single" w:sz="4" w:space="0" w:color="auto"/>
              <w:right w:val="single" w:sz="4" w:space="0" w:color="auto"/>
            </w:tcBorders>
            <w:shd w:val="clear" w:color="auto" w:fill="auto"/>
            <w:hideMark/>
          </w:tcPr>
          <w:p w14:paraId="1E43BEA6"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27F5AAF1"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16ABA1B7"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167ABDE"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000000" w:fill="FFFFFF"/>
            <w:hideMark/>
          </w:tcPr>
          <w:p w14:paraId="11393AF1" w14:textId="77777777" w:rsidR="00194C32" w:rsidRPr="00CC7E97" w:rsidRDefault="00194C32" w:rsidP="00194C32">
            <w:pPr>
              <w:pStyle w:val="TLTBodyText"/>
            </w:pPr>
            <w:r w:rsidRPr="00CC7E97">
              <w:t>The solution must demonstrate applicable measures have been implemented from the NCSC Protecting Bulk Personal Data Guidance (</w:t>
            </w:r>
            <w:hyperlink r:id="rId25" w:history="1">
              <w:r w:rsidR="00571AD5" w:rsidRPr="00B4556A">
                <w:rPr>
                  <w:rStyle w:val="Hyperlink"/>
                </w:rPr>
                <w:t>https://www.ncsc.gov.uk/collection/protecting-bulk-personal-data</w:t>
              </w:r>
            </w:hyperlink>
            <w:r w:rsidRPr="00CC7E97">
              <w:t>).</w:t>
            </w:r>
          </w:p>
        </w:tc>
      </w:tr>
      <w:tr w:rsidR="00194C32" w:rsidRPr="00CC7E97" w14:paraId="39E8722C"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4A140CBC" w14:textId="77777777" w:rsidR="00194C32" w:rsidRPr="00CC7E97" w:rsidRDefault="00194C32" w:rsidP="00194C32">
            <w:pPr>
              <w:pStyle w:val="TLTBodyText"/>
            </w:pPr>
            <w:r w:rsidRPr="00CC7E97">
              <w:t>SEC-10-009</w:t>
            </w:r>
          </w:p>
        </w:tc>
        <w:tc>
          <w:tcPr>
            <w:tcW w:w="1995" w:type="dxa"/>
            <w:tcBorders>
              <w:top w:val="nil"/>
              <w:left w:val="nil"/>
              <w:bottom w:val="single" w:sz="4" w:space="0" w:color="auto"/>
              <w:right w:val="single" w:sz="4" w:space="0" w:color="auto"/>
            </w:tcBorders>
            <w:shd w:val="clear" w:color="auto" w:fill="auto"/>
            <w:hideMark/>
          </w:tcPr>
          <w:p w14:paraId="7E397025"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7C903233" w14:textId="77777777" w:rsidR="00194C32" w:rsidRPr="00CC7E97" w:rsidRDefault="00194C32" w:rsidP="00194C32">
            <w:pPr>
              <w:pStyle w:val="TLTBodyText"/>
              <w:rPr>
                <w:color w:val="000000"/>
              </w:rPr>
            </w:pPr>
            <w:r w:rsidRPr="00CC7E97">
              <w:rPr>
                <w:color w:val="000000"/>
              </w:rPr>
              <w:t>OWASP</w:t>
            </w:r>
          </w:p>
        </w:tc>
        <w:tc>
          <w:tcPr>
            <w:tcW w:w="1550" w:type="dxa"/>
            <w:tcBorders>
              <w:top w:val="nil"/>
              <w:left w:val="nil"/>
              <w:bottom w:val="single" w:sz="4" w:space="0" w:color="auto"/>
              <w:right w:val="single" w:sz="4" w:space="0" w:color="auto"/>
            </w:tcBorders>
            <w:shd w:val="clear" w:color="auto" w:fill="auto"/>
            <w:hideMark/>
          </w:tcPr>
          <w:p w14:paraId="42E2CAFC"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1191F426"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27501E0A"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79D1D01"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000000" w:fill="FFFFFF"/>
            <w:hideMark/>
          </w:tcPr>
          <w:p w14:paraId="716E921E" w14:textId="77777777" w:rsidR="00194C32" w:rsidRPr="00CC7E97" w:rsidRDefault="00194C32" w:rsidP="00194C32">
            <w:pPr>
              <w:pStyle w:val="TLTBodyText"/>
            </w:pPr>
            <w:r w:rsidRPr="00CC7E97">
              <w:t>The solution must ensure any web applications and APIs are designed and implemented to prevent common security attacks such as those listed in the OWASP Top 10 (</w:t>
            </w:r>
            <w:hyperlink r:id="rId26" w:history="1">
              <w:r w:rsidR="00AA4008" w:rsidRPr="00B4556A">
                <w:rPr>
                  <w:rStyle w:val="Hyperlink"/>
                </w:rPr>
                <w:t>https://owasp.org/www-project-top-ten/</w:t>
              </w:r>
            </w:hyperlink>
            <w:r w:rsidRPr="00CC7E97">
              <w:t>).</w:t>
            </w:r>
          </w:p>
        </w:tc>
      </w:tr>
      <w:tr w:rsidR="00194C32" w:rsidRPr="00CC7E97" w14:paraId="0BB7759A"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2570E3C5" w14:textId="77777777" w:rsidR="00194C32" w:rsidRPr="00CC7E97" w:rsidRDefault="00194C32" w:rsidP="00194C32">
            <w:pPr>
              <w:pStyle w:val="TLTBodyText"/>
            </w:pPr>
            <w:r w:rsidRPr="00CC7E97">
              <w:t>SEC-10-010</w:t>
            </w:r>
          </w:p>
        </w:tc>
        <w:tc>
          <w:tcPr>
            <w:tcW w:w="1995" w:type="dxa"/>
            <w:tcBorders>
              <w:top w:val="nil"/>
              <w:left w:val="nil"/>
              <w:bottom w:val="single" w:sz="4" w:space="0" w:color="auto"/>
              <w:right w:val="single" w:sz="4" w:space="0" w:color="auto"/>
            </w:tcBorders>
            <w:shd w:val="clear" w:color="auto" w:fill="auto"/>
            <w:hideMark/>
          </w:tcPr>
          <w:p w14:paraId="76DEB19D" w14:textId="77777777" w:rsidR="00194C32" w:rsidRPr="00CC7E97" w:rsidRDefault="00194C32" w:rsidP="00194C32">
            <w:pPr>
              <w:pStyle w:val="TLTBodyText"/>
              <w:rPr>
                <w:color w:val="000000"/>
              </w:rPr>
            </w:pPr>
            <w:r w:rsidRPr="00CC7E97">
              <w:rPr>
                <w:color w:val="000000"/>
              </w:rPr>
              <w:t>System Acquisition, Development, and Maintenance</w:t>
            </w:r>
          </w:p>
        </w:tc>
        <w:tc>
          <w:tcPr>
            <w:tcW w:w="1795" w:type="dxa"/>
            <w:tcBorders>
              <w:top w:val="nil"/>
              <w:left w:val="nil"/>
              <w:bottom w:val="single" w:sz="4" w:space="0" w:color="auto"/>
              <w:right w:val="single" w:sz="4" w:space="0" w:color="auto"/>
            </w:tcBorders>
            <w:shd w:val="clear" w:color="auto" w:fill="auto"/>
            <w:hideMark/>
          </w:tcPr>
          <w:p w14:paraId="5850C4F3" w14:textId="77777777" w:rsidR="00194C32" w:rsidRPr="00CC7E97" w:rsidRDefault="00194C32" w:rsidP="00194C32">
            <w:pPr>
              <w:pStyle w:val="TLTBodyText"/>
              <w:rPr>
                <w:color w:val="000000"/>
              </w:rPr>
            </w:pPr>
            <w:r w:rsidRPr="00CC7E97">
              <w:rPr>
                <w:color w:val="000000"/>
              </w:rPr>
              <w:t>Test Data</w:t>
            </w:r>
          </w:p>
        </w:tc>
        <w:tc>
          <w:tcPr>
            <w:tcW w:w="1550" w:type="dxa"/>
            <w:tcBorders>
              <w:top w:val="nil"/>
              <w:left w:val="nil"/>
              <w:bottom w:val="single" w:sz="4" w:space="0" w:color="auto"/>
              <w:right w:val="single" w:sz="4" w:space="0" w:color="auto"/>
            </w:tcBorders>
            <w:shd w:val="clear" w:color="auto" w:fill="auto"/>
            <w:hideMark/>
          </w:tcPr>
          <w:p w14:paraId="2DA0944A"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0465B7F3"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4D4E8951"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58F6D06D"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0FA6C3F0" w14:textId="77777777" w:rsidR="00194C32" w:rsidRPr="00CC7E97" w:rsidRDefault="00194C32" w:rsidP="00194C32">
            <w:pPr>
              <w:pStyle w:val="TLTBodyText"/>
              <w:rPr>
                <w:color w:val="000000"/>
              </w:rPr>
            </w:pPr>
            <w:r w:rsidRPr="00CC7E97">
              <w:rPr>
                <w:color w:val="000000"/>
              </w:rPr>
              <w:t>The solution should ensure live HMCTS data (or copies of) are only stored in production (operational) systems.</w:t>
            </w:r>
          </w:p>
        </w:tc>
      </w:tr>
      <w:tr w:rsidR="00194C32" w:rsidRPr="00CC7E97" w14:paraId="7A47FC24"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18275D41" w14:textId="77777777" w:rsidR="00194C32" w:rsidRPr="00CC7E97" w:rsidRDefault="00194C32" w:rsidP="00194C32">
            <w:pPr>
              <w:pStyle w:val="TLTBodyText"/>
            </w:pPr>
            <w:r w:rsidRPr="00CC7E97">
              <w:lastRenderedPageBreak/>
              <w:t>SEC-11-001</w:t>
            </w:r>
          </w:p>
        </w:tc>
        <w:tc>
          <w:tcPr>
            <w:tcW w:w="1995" w:type="dxa"/>
            <w:tcBorders>
              <w:top w:val="nil"/>
              <w:left w:val="nil"/>
              <w:bottom w:val="single" w:sz="4" w:space="0" w:color="auto"/>
              <w:right w:val="single" w:sz="4" w:space="0" w:color="auto"/>
            </w:tcBorders>
            <w:shd w:val="clear" w:color="auto" w:fill="auto"/>
            <w:hideMark/>
          </w:tcPr>
          <w:p w14:paraId="393144F4" w14:textId="77777777" w:rsidR="00194C32" w:rsidRPr="00CC7E97" w:rsidRDefault="00194C32" w:rsidP="00194C32">
            <w:pPr>
              <w:pStyle w:val="TLTBodyText"/>
              <w:rPr>
                <w:color w:val="000000"/>
              </w:rPr>
            </w:pPr>
            <w:r w:rsidRPr="00CC7E97">
              <w:rPr>
                <w:color w:val="000000"/>
              </w:rPr>
              <w:t>Supplier Relationships</w:t>
            </w:r>
          </w:p>
        </w:tc>
        <w:tc>
          <w:tcPr>
            <w:tcW w:w="1795" w:type="dxa"/>
            <w:tcBorders>
              <w:top w:val="nil"/>
              <w:left w:val="nil"/>
              <w:bottom w:val="single" w:sz="4" w:space="0" w:color="auto"/>
              <w:right w:val="single" w:sz="4" w:space="0" w:color="auto"/>
            </w:tcBorders>
            <w:shd w:val="clear" w:color="auto" w:fill="auto"/>
            <w:hideMark/>
          </w:tcPr>
          <w:p w14:paraId="322F2347" w14:textId="77777777" w:rsidR="00194C32" w:rsidRPr="00CC7E97" w:rsidRDefault="00194C32" w:rsidP="00194C32">
            <w:pPr>
              <w:pStyle w:val="TLTBodyText"/>
              <w:rPr>
                <w:color w:val="000000"/>
              </w:rPr>
            </w:pPr>
            <w:r w:rsidRPr="00CC7E97">
              <w:rPr>
                <w:color w:val="000000"/>
              </w:rPr>
              <w:t>Contracts</w:t>
            </w:r>
          </w:p>
        </w:tc>
        <w:tc>
          <w:tcPr>
            <w:tcW w:w="1550" w:type="dxa"/>
            <w:tcBorders>
              <w:top w:val="nil"/>
              <w:left w:val="nil"/>
              <w:bottom w:val="single" w:sz="4" w:space="0" w:color="auto"/>
              <w:right w:val="single" w:sz="4" w:space="0" w:color="auto"/>
            </w:tcBorders>
            <w:shd w:val="clear" w:color="auto" w:fill="auto"/>
            <w:hideMark/>
          </w:tcPr>
          <w:p w14:paraId="55691E14"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3CB3C373"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575DF8FA"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B2585BB"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79883AE2" w14:textId="77777777" w:rsidR="00194C32" w:rsidRPr="00CC7E97" w:rsidRDefault="00194C32" w:rsidP="00194C32">
            <w:pPr>
              <w:pStyle w:val="TLTBodyText"/>
              <w:rPr>
                <w:color w:val="000000"/>
              </w:rPr>
            </w:pPr>
            <w:r w:rsidRPr="00CC7E97">
              <w:rPr>
                <w:color w:val="000000"/>
              </w:rPr>
              <w:t>The supplier must ensure, and provide evidence to HMCTS, that all security requirements applicable to the solution or service, will flow down in the supply chain and will apply to all sub-contractors, partners, and suppliers that participate in the solution or service</w:t>
            </w:r>
            <w:r w:rsidR="004906B4" w:rsidRPr="00CC7E97">
              <w:rPr>
                <w:color w:val="000000"/>
              </w:rPr>
              <w:t>.</w:t>
            </w:r>
          </w:p>
        </w:tc>
      </w:tr>
      <w:tr w:rsidR="00194C32" w:rsidRPr="00CC7E97" w14:paraId="11746102"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36A0DDA6" w14:textId="77777777" w:rsidR="00194C32" w:rsidRPr="00CC7E97" w:rsidRDefault="00194C32" w:rsidP="00194C32">
            <w:pPr>
              <w:pStyle w:val="TLTBodyText"/>
            </w:pPr>
            <w:r w:rsidRPr="00CC7E97">
              <w:t>SEC-12-001</w:t>
            </w:r>
          </w:p>
        </w:tc>
        <w:tc>
          <w:tcPr>
            <w:tcW w:w="1995" w:type="dxa"/>
            <w:tcBorders>
              <w:top w:val="nil"/>
              <w:left w:val="nil"/>
              <w:bottom w:val="single" w:sz="4" w:space="0" w:color="auto"/>
              <w:right w:val="single" w:sz="4" w:space="0" w:color="auto"/>
            </w:tcBorders>
            <w:shd w:val="clear" w:color="auto" w:fill="auto"/>
            <w:hideMark/>
          </w:tcPr>
          <w:p w14:paraId="54640AC9" w14:textId="77777777" w:rsidR="00194C32" w:rsidRPr="00CC7E97" w:rsidRDefault="00194C32" w:rsidP="00194C32">
            <w:pPr>
              <w:pStyle w:val="TLTBodyText"/>
              <w:rPr>
                <w:color w:val="000000"/>
              </w:rPr>
            </w:pPr>
            <w:r w:rsidRPr="00CC7E97">
              <w:rPr>
                <w:color w:val="000000"/>
              </w:rPr>
              <w:t>Information Security Incident Management</w:t>
            </w:r>
          </w:p>
        </w:tc>
        <w:tc>
          <w:tcPr>
            <w:tcW w:w="1795" w:type="dxa"/>
            <w:tcBorders>
              <w:top w:val="nil"/>
              <w:left w:val="nil"/>
              <w:bottom w:val="single" w:sz="4" w:space="0" w:color="auto"/>
              <w:right w:val="single" w:sz="4" w:space="0" w:color="auto"/>
            </w:tcBorders>
            <w:shd w:val="clear" w:color="auto" w:fill="auto"/>
            <w:hideMark/>
          </w:tcPr>
          <w:p w14:paraId="1CFEA6ED" w14:textId="77777777" w:rsidR="00194C32" w:rsidRPr="00CC7E97" w:rsidRDefault="00194C32" w:rsidP="00194C32">
            <w:pPr>
              <w:pStyle w:val="TLTBodyText"/>
              <w:rPr>
                <w:color w:val="000000"/>
              </w:rPr>
            </w:pPr>
            <w:r w:rsidRPr="00CC7E97">
              <w:rPr>
                <w:color w:val="000000"/>
              </w:rPr>
              <w:t>Process</w:t>
            </w:r>
          </w:p>
        </w:tc>
        <w:tc>
          <w:tcPr>
            <w:tcW w:w="1550" w:type="dxa"/>
            <w:tcBorders>
              <w:top w:val="nil"/>
              <w:left w:val="nil"/>
              <w:bottom w:val="single" w:sz="4" w:space="0" w:color="auto"/>
              <w:right w:val="single" w:sz="4" w:space="0" w:color="auto"/>
            </w:tcBorders>
            <w:shd w:val="clear" w:color="auto" w:fill="auto"/>
            <w:hideMark/>
          </w:tcPr>
          <w:p w14:paraId="705686C5" w14:textId="77777777" w:rsidR="00194C32" w:rsidRPr="00CC7E97" w:rsidRDefault="00194C32" w:rsidP="00194C32">
            <w:pPr>
              <w:pStyle w:val="TLTBodyText"/>
              <w:rPr>
                <w:color w:val="000000"/>
              </w:rPr>
            </w:pPr>
            <w:r w:rsidRPr="00CC7E97">
              <w:rPr>
                <w:color w:val="000000"/>
              </w:rPr>
              <w:t xml:space="preserve">(D) Minimising The Impact of Cyber Security Incidents </w:t>
            </w:r>
          </w:p>
        </w:tc>
        <w:tc>
          <w:tcPr>
            <w:tcW w:w="1466" w:type="dxa"/>
            <w:tcBorders>
              <w:top w:val="nil"/>
              <w:left w:val="nil"/>
              <w:bottom w:val="single" w:sz="4" w:space="0" w:color="auto"/>
              <w:right w:val="single" w:sz="4" w:space="0" w:color="auto"/>
            </w:tcBorders>
            <w:shd w:val="clear" w:color="auto" w:fill="auto"/>
            <w:hideMark/>
          </w:tcPr>
          <w:p w14:paraId="427D2801"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567492B1"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12C7275"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312FCA65" w14:textId="77777777" w:rsidR="00194C32" w:rsidRPr="00CC7E97" w:rsidRDefault="00194C32" w:rsidP="00194C32">
            <w:pPr>
              <w:pStyle w:val="TLTBodyText"/>
              <w:rPr>
                <w:color w:val="000000"/>
              </w:rPr>
            </w:pPr>
            <w:r w:rsidRPr="00CC7E97">
              <w:rPr>
                <w:color w:val="000000"/>
              </w:rPr>
              <w:t>The supplier and HMCTS must notify the other upon becoming aware of any security incident, breach of security or any potential or attempted breach of security (including throughout the supply chain) in accordance with the ISMS, SMP and HMCTS Security Incident Management Policy as shared</w:t>
            </w:r>
            <w:r w:rsidR="004906B4" w:rsidRPr="00CC7E97">
              <w:rPr>
                <w:color w:val="000000"/>
              </w:rPr>
              <w:t>.</w:t>
            </w:r>
          </w:p>
        </w:tc>
      </w:tr>
      <w:tr w:rsidR="00194C32" w:rsidRPr="00CC7E97" w14:paraId="293E98C6"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38BA34D0" w14:textId="77777777" w:rsidR="00194C32" w:rsidRPr="00CC7E97" w:rsidRDefault="00194C32" w:rsidP="00194C32">
            <w:pPr>
              <w:pStyle w:val="TLTBodyText"/>
            </w:pPr>
            <w:r w:rsidRPr="00CC7E97">
              <w:t>SEC-13-001</w:t>
            </w:r>
          </w:p>
        </w:tc>
        <w:tc>
          <w:tcPr>
            <w:tcW w:w="1995" w:type="dxa"/>
            <w:tcBorders>
              <w:top w:val="nil"/>
              <w:left w:val="nil"/>
              <w:bottom w:val="single" w:sz="4" w:space="0" w:color="auto"/>
              <w:right w:val="single" w:sz="4" w:space="0" w:color="auto"/>
            </w:tcBorders>
            <w:shd w:val="clear" w:color="auto" w:fill="auto"/>
            <w:hideMark/>
          </w:tcPr>
          <w:p w14:paraId="5A88D40C" w14:textId="77777777" w:rsidR="00194C32" w:rsidRPr="00CC7E97" w:rsidRDefault="00194C32" w:rsidP="00194C32">
            <w:pPr>
              <w:pStyle w:val="TLTBodyText"/>
              <w:rPr>
                <w:color w:val="000000"/>
              </w:rPr>
            </w:pPr>
            <w:r w:rsidRPr="00CC7E97">
              <w:rPr>
                <w:color w:val="000000"/>
              </w:rPr>
              <w:t xml:space="preserve">Information Security Aspects of Business Continuity Management </w:t>
            </w:r>
          </w:p>
        </w:tc>
        <w:tc>
          <w:tcPr>
            <w:tcW w:w="1795" w:type="dxa"/>
            <w:tcBorders>
              <w:top w:val="nil"/>
              <w:left w:val="nil"/>
              <w:bottom w:val="single" w:sz="4" w:space="0" w:color="auto"/>
              <w:right w:val="single" w:sz="4" w:space="0" w:color="auto"/>
            </w:tcBorders>
            <w:shd w:val="clear" w:color="auto" w:fill="auto"/>
            <w:hideMark/>
          </w:tcPr>
          <w:p w14:paraId="4E3BAAF2" w14:textId="77777777" w:rsidR="00194C32" w:rsidRPr="00CC7E97" w:rsidRDefault="00194C32" w:rsidP="00194C32">
            <w:pPr>
              <w:pStyle w:val="TLTBodyText"/>
              <w:rPr>
                <w:color w:val="000000"/>
              </w:rPr>
            </w:pPr>
            <w:r w:rsidRPr="00CC7E97">
              <w:rPr>
                <w:color w:val="000000"/>
              </w:rPr>
              <w:t>BCMS</w:t>
            </w:r>
          </w:p>
        </w:tc>
        <w:tc>
          <w:tcPr>
            <w:tcW w:w="1550" w:type="dxa"/>
            <w:tcBorders>
              <w:top w:val="nil"/>
              <w:left w:val="nil"/>
              <w:bottom w:val="single" w:sz="4" w:space="0" w:color="auto"/>
              <w:right w:val="single" w:sz="4" w:space="0" w:color="auto"/>
            </w:tcBorders>
            <w:shd w:val="clear" w:color="auto" w:fill="auto"/>
            <w:hideMark/>
          </w:tcPr>
          <w:p w14:paraId="6219F6E7" w14:textId="77777777" w:rsidR="00194C32" w:rsidRPr="00CC7E97" w:rsidRDefault="00194C32" w:rsidP="00194C32">
            <w:pPr>
              <w:pStyle w:val="TLTBodyText"/>
              <w:rPr>
                <w:color w:val="000000"/>
              </w:rPr>
            </w:pPr>
            <w:r w:rsidRPr="00CC7E97">
              <w:rPr>
                <w:color w:val="000000"/>
              </w:rPr>
              <w:t xml:space="preserve">(D) Minimising The Impact of Cyber Security Incidents </w:t>
            </w:r>
          </w:p>
        </w:tc>
        <w:tc>
          <w:tcPr>
            <w:tcW w:w="1466" w:type="dxa"/>
            <w:tcBorders>
              <w:top w:val="nil"/>
              <w:left w:val="nil"/>
              <w:bottom w:val="single" w:sz="4" w:space="0" w:color="auto"/>
              <w:right w:val="single" w:sz="4" w:space="0" w:color="auto"/>
            </w:tcBorders>
            <w:shd w:val="clear" w:color="auto" w:fill="auto"/>
            <w:hideMark/>
          </w:tcPr>
          <w:p w14:paraId="1921F8D3"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475388A0"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6AAD3106"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113E9749" w14:textId="77777777" w:rsidR="00194C32" w:rsidRPr="00CC7E97" w:rsidRDefault="00D1435F" w:rsidP="00194C32">
            <w:pPr>
              <w:pStyle w:val="TLTBodyText"/>
            </w:pPr>
            <w:r w:rsidRPr="00CC7E97">
              <w:t>The supplier must develop and maintain a Business Continuity and Disaster Recovery Plan that meets the requirements of ISO/IEC22301 (</w:t>
            </w:r>
            <w:hyperlink r:id="rId27" w:history="1">
              <w:r w:rsidR="00AA4008" w:rsidRPr="00B4556A">
                <w:rPr>
                  <w:rStyle w:val="Hyperlink"/>
                </w:rPr>
                <w:t>https://www.iso.org/standard/75106.html</w:t>
              </w:r>
            </w:hyperlink>
            <w:r w:rsidRPr="00CC7E97">
              <w:t>)</w:t>
            </w:r>
            <w:r w:rsidR="004906B4" w:rsidRPr="00CC7E97">
              <w:t xml:space="preserve">.  </w:t>
            </w:r>
            <w:r w:rsidRPr="00CC7E97">
              <w:t>The Plan must be specific to the service delivered to HMCTS.</w:t>
            </w:r>
          </w:p>
        </w:tc>
      </w:tr>
      <w:tr w:rsidR="00194C32" w:rsidRPr="00CC7E97" w14:paraId="179982BB"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6177A1D2" w14:textId="77777777" w:rsidR="00194C32" w:rsidRPr="00CC7E97" w:rsidRDefault="00194C32" w:rsidP="00194C32">
            <w:pPr>
              <w:pStyle w:val="TLTBodyText"/>
            </w:pPr>
            <w:r w:rsidRPr="00CC7E97">
              <w:t>SEC-13-002</w:t>
            </w:r>
          </w:p>
        </w:tc>
        <w:tc>
          <w:tcPr>
            <w:tcW w:w="1995" w:type="dxa"/>
            <w:tcBorders>
              <w:top w:val="nil"/>
              <w:left w:val="nil"/>
              <w:bottom w:val="single" w:sz="4" w:space="0" w:color="auto"/>
              <w:right w:val="single" w:sz="4" w:space="0" w:color="auto"/>
            </w:tcBorders>
            <w:shd w:val="clear" w:color="auto" w:fill="auto"/>
            <w:hideMark/>
          </w:tcPr>
          <w:p w14:paraId="4587D07A" w14:textId="77777777" w:rsidR="00194C32" w:rsidRPr="00CC7E97" w:rsidRDefault="00194C32" w:rsidP="00194C32">
            <w:pPr>
              <w:pStyle w:val="TLTBodyText"/>
              <w:rPr>
                <w:color w:val="000000"/>
              </w:rPr>
            </w:pPr>
            <w:r w:rsidRPr="00CC7E97">
              <w:rPr>
                <w:color w:val="000000"/>
              </w:rPr>
              <w:t xml:space="preserve">Information Security Aspects of Business Continuity Management </w:t>
            </w:r>
          </w:p>
        </w:tc>
        <w:tc>
          <w:tcPr>
            <w:tcW w:w="1795" w:type="dxa"/>
            <w:tcBorders>
              <w:top w:val="nil"/>
              <w:left w:val="nil"/>
              <w:bottom w:val="single" w:sz="4" w:space="0" w:color="auto"/>
              <w:right w:val="single" w:sz="4" w:space="0" w:color="auto"/>
            </w:tcBorders>
            <w:shd w:val="clear" w:color="auto" w:fill="auto"/>
            <w:hideMark/>
          </w:tcPr>
          <w:p w14:paraId="0655B456" w14:textId="77777777" w:rsidR="00194C32" w:rsidRPr="00CC7E97" w:rsidRDefault="00194C32" w:rsidP="00194C32">
            <w:pPr>
              <w:pStyle w:val="TLTBodyText"/>
              <w:rPr>
                <w:color w:val="000000"/>
              </w:rPr>
            </w:pPr>
            <w:r w:rsidRPr="00CC7E97">
              <w:rPr>
                <w:color w:val="000000"/>
              </w:rPr>
              <w:t>Testing backups</w:t>
            </w:r>
          </w:p>
        </w:tc>
        <w:tc>
          <w:tcPr>
            <w:tcW w:w="1550" w:type="dxa"/>
            <w:tcBorders>
              <w:top w:val="nil"/>
              <w:left w:val="nil"/>
              <w:bottom w:val="single" w:sz="4" w:space="0" w:color="auto"/>
              <w:right w:val="single" w:sz="4" w:space="0" w:color="auto"/>
            </w:tcBorders>
            <w:shd w:val="clear" w:color="auto" w:fill="auto"/>
            <w:hideMark/>
          </w:tcPr>
          <w:p w14:paraId="20F3FCD1" w14:textId="77777777" w:rsidR="00194C32" w:rsidRPr="00CC7E97" w:rsidRDefault="00194C32" w:rsidP="00194C32">
            <w:pPr>
              <w:pStyle w:val="TLTBodyText"/>
              <w:rPr>
                <w:color w:val="000000"/>
              </w:rPr>
            </w:pPr>
            <w:r w:rsidRPr="00CC7E97">
              <w:rPr>
                <w:color w:val="000000"/>
              </w:rPr>
              <w:t xml:space="preserve">(D) Minimising The Impact of Cyber Security Incidents </w:t>
            </w:r>
          </w:p>
        </w:tc>
        <w:tc>
          <w:tcPr>
            <w:tcW w:w="1466" w:type="dxa"/>
            <w:tcBorders>
              <w:top w:val="nil"/>
              <w:left w:val="nil"/>
              <w:bottom w:val="single" w:sz="4" w:space="0" w:color="auto"/>
              <w:right w:val="single" w:sz="4" w:space="0" w:color="auto"/>
            </w:tcBorders>
            <w:shd w:val="clear" w:color="auto" w:fill="auto"/>
            <w:hideMark/>
          </w:tcPr>
          <w:p w14:paraId="4B36B2E5"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0C79D449"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38D1A6DF"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5DFB953F" w14:textId="77777777" w:rsidR="00194C32" w:rsidRPr="00CC7E97" w:rsidRDefault="00194C32" w:rsidP="00194C32">
            <w:pPr>
              <w:pStyle w:val="TLTBodyText"/>
            </w:pPr>
            <w:r w:rsidRPr="00CC7E97">
              <w:t>The supplier must test backup solutions</w:t>
            </w:r>
            <w:r w:rsidR="004906B4" w:rsidRPr="00CC7E97">
              <w:t xml:space="preserve">.  </w:t>
            </w:r>
            <w:r w:rsidRPr="00CC7E97">
              <w:t>At a minimum this must include (1) a backup test at least every three months (2) verifying data reliability and integrity of data in scope of the ISMS (3) ensuring that any testing meets the requirements of the BCDR plan (4) verifying Recovery Time Objectives (RTOs) and Recovery Point Objectives (RPOs) can be met.</w:t>
            </w:r>
          </w:p>
        </w:tc>
      </w:tr>
      <w:tr w:rsidR="00194C32" w:rsidRPr="00CC7E97" w14:paraId="23157452"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77390889" w14:textId="77777777" w:rsidR="00194C32" w:rsidRPr="00CC7E97" w:rsidRDefault="00194C32" w:rsidP="00194C32">
            <w:pPr>
              <w:pStyle w:val="TLTBodyText"/>
            </w:pPr>
            <w:r w:rsidRPr="00CC7E97">
              <w:lastRenderedPageBreak/>
              <w:t>SEC-14-001</w:t>
            </w:r>
          </w:p>
        </w:tc>
        <w:tc>
          <w:tcPr>
            <w:tcW w:w="1995" w:type="dxa"/>
            <w:tcBorders>
              <w:top w:val="nil"/>
              <w:left w:val="nil"/>
              <w:bottom w:val="single" w:sz="4" w:space="0" w:color="auto"/>
              <w:right w:val="single" w:sz="4" w:space="0" w:color="auto"/>
            </w:tcBorders>
            <w:shd w:val="clear" w:color="auto" w:fill="auto"/>
            <w:hideMark/>
          </w:tcPr>
          <w:p w14:paraId="62097058"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1F27D47C" w14:textId="77777777" w:rsidR="00194C32" w:rsidRPr="00CC7E97" w:rsidRDefault="00194C32" w:rsidP="00194C32">
            <w:pPr>
              <w:pStyle w:val="TLTBodyText"/>
              <w:rPr>
                <w:color w:val="000000"/>
              </w:rPr>
            </w:pPr>
            <w:r w:rsidRPr="00CC7E97">
              <w:rPr>
                <w:color w:val="000000"/>
              </w:rPr>
              <w:t>SMP</w:t>
            </w:r>
          </w:p>
        </w:tc>
        <w:tc>
          <w:tcPr>
            <w:tcW w:w="1550" w:type="dxa"/>
            <w:tcBorders>
              <w:top w:val="nil"/>
              <w:left w:val="nil"/>
              <w:bottom w:val="single" w:sz="4" w:space="0" w:color="auto"/>
              <w:right w:val="single" w:sz="4" w:space="0" w:color="auto"/>
            </w:tcBorders>
            <w:shd w:val="clear" w:color="auto" w:fill="auto"/>
            <w:hideMark/>
          </w:tcPr>
          <w:p w14:paraId="560F5DD4"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268F847B"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ADA1CD3"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4C90C90E"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single" w:sz="4" w:space="0" w:color="auto"/>
              <w:left w:val="nil"/>
              <w:bottom w:val="single" w:sz="4" w:space="0" w:color="auto"/>
              <w:right w:val="single" w:sz="4" w:space="0" w:color="auto"/>
            </w:tcBorders>
            <w:shd w:val="clear" w:color="000000" w:fill="auto"/>
            <w:hideMark/>
          </w:tcPr>
          <w:p w14:paraId="697E0868" w14:textId="77777777" w:rsidR="00194C32" w:rsidRPr="00CC7E97" w:rsidRDefault="00194C32" w:rsidP="00194C32">
            <w:pPr>
              <w:pStyle w:val="TLTBodyText"/>
            </w:pPr>
            <w:r w:rsidRPr="00CC7E97">
              <w:t>The supplier must prepare, develop, maintain, and deliver to HMCTS for approval a complete and up to date Security Management Plan (SMP) covering all services delivered under contract</w:t>
            </w:r>
            <w:r w:rsidR="004906B4" w:rsidRPr="00CC7E97">
              <w:t xml:space="preserve">.  </w:t>
            </w:r>
            <w:r w:rsidRPr="00CC7E97">
              <w:t>At a minimum, the SMP must (1) be structured in accordance with the HMCTS SMP template as shared, (2) identify how the supplier</w:t>
            </w:r>
            <w:r w:rsidR="008E0D75">
              <w:t>'</w:t>
            </w:r>
            <w:r w:rsidRPr="00CC7E97">
              <w:t>s ISMS applies to the services offered to HMCTS, (3) explicitly detail how security non-functional requirements and outcomes are being implemented or met (4) identify the necessary delegated organisational roles defined for those responsible for delivering and overseeing the SMP (5) detail the supplier approach and processes for delivering the services using Sub-Contractors and third parties authorised by HMCTS.</w:t>
            </w:r>
          </w:p>
        </w:tc>
      </w:tr>
      <w:tr w:rsidR="00194C32" w:rsidRPr="00CC7E97" w14:paraId="06C8BF9A"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091C2EE8" w14:textId="77777777" w:rsidR="00194C32" w:rsidRPr="00CC7E97" w:rsidRDefault="00194C32" w:rsidP="00194C32">
            <w:pPr>
              <w:pStyle w:val="TLTBodyText"/>
            </w:pPr>
            <w:r w:rsidRPr="00CC7E97">
              <w:t>SEC-14-002</w:t>
            </w:r>
          </w:p>
        </w:tc>
        <w:tc>
          <w:tcPr>
            <w:tcW w:w="1995" w:type="dxa"/>
            <w:tcBorders>
              <w:top w:val="nil"/>
              <w:left w:val="nil"/>
              <w:bottom w:val="single" w:sz="4" w:space="0" w:color="auto"/>
              <w:right w:val="single" w:sz="4" w:space="0" w:color="auto"/>
            </w:tcBorders>
            <w:shd w:val="clear" w:color="auto" w:fill="auto"/>
            <w:hideMark/>
          </w:tcPr>
          <w:p w14:paraId="194027D7"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4D45275D" w14:textId="77777777" w:rsidR="00194C32" w:rsidRPr="00CC7E97" w:rsidRDefault="00194C32" w:rsidP="00194C32">
            <w:pPr>
              <w:pStyle w:val="TLTBodyText"/>
              <w:rPr>
                <w:color w:val="000000"/>
              </w:rPr>
            </w:pPr>
            <w:r w:rsidRPr="00CC7E97">
              <w:rPr>
                <w:color w:val="000000"/>
              </w:rPr>
              <w:t>SAL</w:t>
            </w:r>
          </w:p>
        </w:tc>
        <w:tc>
          <w:tcPr>
            <w:tcW w:w="1550" w:type="dxa"/>
            <w:tcBorders>
              <w:top w:val="nil"/>
              <w:left w:val="nil"/>
              <w:bottom w:val="single" w:sz="4" w:space="0" w:color="auto"/>
              <w:right w:val="single" w:sz="4" w:space="0" w:color="auto"/>
            </w:tcBorders>
            <w:shd w:val="clear" w:color="auto" w:fill="auto"/>
            <w:hideMark/>
          </w:tcPr>
          <w:p w14:paraId="710406D4"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4286F05F"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4DC04201"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63B103DE"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single" w:sz="4" w:space="0" w:color="auto"/>
              <w:left w:val="nil"/>
              <w:bottom w:val="single" w:sz="4" w:space="0" w:color="auto"/>
              <w:right w:val="single" w:sz="4" w:space="0" w:color="auto"/>
            </w:tcBorders>
            <w:shd w:val="clear" w:color="000000" w:fill="auto"/>
            <w:hideMark/>
          </w:tcPr>
          <w:p w14:paraId="18EE3DE2" w14:textId="77777777" w:rsidR="00194C32" w:rsidRPr="00CC7E97" w:rsidRDefault="00194C32" w:rsidP="00194C32">
            <w:pPr>
              <w:pStyle w:val="TLTBodyText"/>
            </w:pPr>
            <w:r w:rsidRPr="00CC7E97">
              <w:t>The supplier must ensure that all changes to services impacting IT security are approved in accordance with the agreed change procedure and take account of the latest Security Aspects Letter (SAL) as shared.</w:t>
            </w:r>
          </w:p>
        </w:tc>
      </w:tr>
      <w:tr w:rsidR="00194C32" w:rsidRPr="00CC7E97" w14:paraId="76CBE9DE"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5E6B28C5" w14:textId="77777777" w:rsidR="00194C32" w:rsidRPr="00CC7E97" w:rsidRDefault="00194C32" w:rsidP="00194C32">
            <w:pPr>
              <w:pStyle w:val="TLTBodyText"/>
            </w:pPr>
            <w:r w:rsidRPr="00CC7E97">
              <w:t>SEC-14-003</w:t>
            </w:r>
          </w:p>
        </w:tc>
        <w:tc>
          <w:tcPr>
            <w:tcW w:w="1995" w:type="dxa"/>
            <w:tcBorders>
              <w:top w:val="nil"/>
              <w:left w:val="nil"/>
              <w:bottom w:val="single" w:sz="4" w:space="0" w:color="auto"/>
              <w:right w:val="single" w:sz="4" w:space="0" w:color="auto"/>
            </w:tcBorders>
            <w:shd w:val="clear" w:color="auto" w:fill="auto"/>
            <w:hideMark/>
          </w:tcPr>
          <w:p w14:paraId="500805C0"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5ED17E13" w14:textId="77777777" w:rsidR="00194C32" w:rsidRPr="00CC7E97" w:rsidRDefault="00194C32" w:rsidP="00194C32">
            <w:pPr>
              <w:pStyle w:val="TLTBodyText"/>
              <w:rPr>
                <w:color w:val="000000"/>
              </w:rPr>
            </w:pPr>
            <w:r w:rsidRPr="00CC7E97">
              <w:rPr>
                <w:color w:val="000000"/>
              </w:rPr>
              <w:t>ISMS</w:t>
            </w:r>
          </w:p>
        </w:tc>
        <w:tc>
          <w:tcPr>
            <w:tcW w:w="1550" w:type="dxa"/>
            <w:tcBorders>
              <w:top w:val="nil"/>
              <w:left w:val="nil"/>
              <w:bottom w:val="single" w:sz="4" w:space="0" w:color="auto"/>
              <w:right w:val="single" w:sz="4" w:space="0" w:color="auto"/>
            </w:tcBorders>
            <w:shd w:val="clear" w:color="auto" w:fill="auto"/>
            <w:hideMark/>
          </w:tcPr>
          <w:p w14:paraId="25DE8B40"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6590E2C0"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0257CB0D"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7D156964" w14:textId="77777777" w:rsidR="00194C32" w:rsidRPr="00CC7E97" w:rsidRDefault="00194C32" w:rsidP="00194C32">
            <w:pPr>
              <w:pStyle w:val="TLTBodyText"/>
              <w:rPr>
                <w:color w:val="000000"/>
              </w:rPr>
            </w:pPr>
            <w:r w:rsidRPr="00CC7E97">
              <w:rPr>
                <w:color w:val="000000"/>
              </w:rPr>
              <w:t>Certificates</w:t>
            </w:r>
          </w:p>
        </w:tc>
        <w:tc>
          <w:tcPr>
            <w:tcW w:w="4821" w:type="dxa"/>
            <w:tcBorders>
              <w:top w:val="nil"/>
              <w:left w:val="nil"/>
              <w:bottom w:val="single" w:sz="4" w:space="0" w:color="auto"/>
              <w:right w:val="single" w:sz="4" w:space="0" w:color="auto"/>
            </w:tcBorders>
            <w:shd w:val="clear" w:color="auto" w:fill="auto"/>
            <w:hideMark/>
          </w:tcPr>
          <w:p w14:paraId="39791FF6" w14:textId="77777777" w:rsidR="00194C32" w:rsidRPr="00CC7E97" w:rsidRDefault="00194C32" w:rsidP="00194C32">
            <w:pPr>
              <w:pStyle w:val="TLTBodyText"/>
            </w:pPr>
            <w:r w:rsidRPr="00CC7E97">
              <w:t>The supplier should hold and maintain valid ISO 27001 certification for their Information Security Management System (ISMS)</w:t>
            </w:r>
            <w:r w:rsidR="004906B4" w:rsidRPr="00CC7E97">
              <w:t xml:space="preserve">.  </w:t>
            </w:r>
            <w:r w:rsidRPr="00CC7E97">
              <w:t>The certification must be issued by a UKAS registered certification body the scope of which fully and explicitly includes the system(s) used for the solution, service and data and all related operations and procedures.</w:t>
            </w:r>
          </w:p>
        </w:tc>
      </w:tr>
      <w:tr w:rsidR="00194C32" w:rsidRPr="00CC7E97" w14:paraId="6E769791"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07D7F11F" w14:textId="77777777" w:rsidR="00194C32" w:rsidRPr="00CC7E97" w:rsidRDefault="00194C32" w:rsidP="00194C32">
            <w:pPr>
              <w:pStyle w:val="TLTBodyText"/>
            </w:pPr>
            <w:r w:rsidRPr="00CC7E97">
              <w:lastRenderedPageBreak/>
              <w:t>SEC-14-004</w:t>
            </w:r>
          </w:p>
        </w:tc>
        <w:tc>
          <w:tcPr>
            <w:tcW w:w="1995" w:type="dxa"/>
            <w:tcBorders>
              <w:top w:val="nil"/>
              <w:left w:val="nil"/>
              <w:bottom w:val="single" w:sz="4" w:space="0" w:color="auto"/>
              <w:right w:val="single" w:sz="4" w:space="0" w:color="auto"/>
            </w:tcBorders>
            <w:shd w:val="clear" w:color="auto" w:fill="auto"/>
            <w:hideMark/>
          </w:tcPr>
          <w:p w14:paraId="0249F554"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6A553A6E" w14:textId="77777777" w:rsidR="00194C32" w:rsidRPr="00CC7E97" w:rsidRDefault="00194C32" w:rsidP="00194C32">
            <w:pPr>
              <w:pStyle w:val="TLTBodyText"/>
              <w:rPr>
                <w:color w:val="000000"/>
              </w:rPr>
            </w:pPr>
            <w:r w:rsidRPr="00CC7E97">
              <w:rPr>
                <w:color w:val="000000"/>
              </w:rPr>
              <w:t>Cyber Essentials</w:t>
            </w:r>
          </w:p>
        </w:tc>
        <w:tc>
          <w:tcPr>
            <w:tcW w:w="1550" w:type="dxa"/>
            <w:tcBorders>
              <w:top w:val="nil"/>
              <w:left w:val="nil"/>
              <w:bottom w:val="single" w:sz="4" w:space="0" w:color="auto"/>
              <w:right w:val="single" w:sz="4" w:space="0" w:color="auto"/>
            </w:tcBorders>
            <w:shd w:val="clear" w:color="auto" w:fill="auto"/>
            <w:hideMark/>
          </w:tcPr>
          <w:p w14:paraId="62AF8087"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01E2A179"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E595E0B"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7579C9F3" w14:textId="77777777" w:rsidR="00194C32" w:rsidRPr="00CC7E97" w:rsidRDefault="00194C32" w:rsidP="00194C32">
            <w:pPr>
              <w:pStyle w:val="TLTBodyText"/>
              <w:rPr>
                <w:color w:val="000000"/>
              </w:rPr>
            </w:pPr>
            <w:r w:rsidRPr="00CC7E97">
              <w:rPr>
                <w:color w:val="000000"/>
              </w:rPr>
              <w:t>Certificates</w:t>
            </w:r>
          </w:p>
        </w:tc>
        <w:tc>
          <w:tcPr>
            <w:tcW w:w="4821" w:type="dxa"/>
            <w:tcBorders>
              <w:top w:val="nil"/>
              <w:left w:val="nil"/>
              <w:bottom w:val="single" w:sz="4" w:space="0" w:color="auto"/>
              <w:right w:val="single" w:sz="4" w:space="0" w:color="auto"/>
            </w:tcBorders>
            <w:shd w:val="clear" w:color="auto" w:fill="auto"/>
            <w:hideMark/>
          </w:tcPr>
          <w:p w14:paraId="5C456D15" w14:textId="77777777" w:rsidR="00194C32" w:rsidRPr="00CC7E97" w:rsidRDefault="00194C32" w:rsidP="00194C32">
            <w:pPr>
              <w:pStyle w:val="TLTBodyText"/>
            </w:pPr>
            <w:r w:rsidRPr="00CC7E97">
              <w:t>The supplier must hold and maintain Cyber Essentials (CE) certification the scope of which includes the systems within the solution provided to HMCTS.</w:t>
            </w:r>
          </w:p>
        </w:tc>
      </w:tr>
      <w:tr w:rsidR="00194C32" w:rsidRPr="00CC7E97" w14:paraId="7DD1152C"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56A186D1" w14:textId="77777777" w:rsidR="00194C32" w:rsidRPr="00CC7E97" w:rsidRDefault="00194C32" w:rsidP="00194C32">
            <w:pPr>
              <w:pStyle w:val="TLTBodyText"/>
            </w:pPr>
            <w:r w:rsidRPr="00CC7E97">
              <w:t>SEC-14-005</w:t>
            </w:r>
          </w:p>
        </w:tc>
        <w:tc>
          <w:tcPr>
            <w:tcW w:w="1995" w:type="dxa"/>
            <w:tcBorders>
              <w:top w:val="nil"/>
              <w:left w:val="nil"/>
              <w:bottom w:val="single" w:sz="4" w:space="0" w:color="auto"/>
              <w:right w:val="single" w:sz="4" w:space="0" w:color="auto"/>
            </w:tcBorders>
            <w:shd w:val="clear" w:color="auto" w:fill="auto"/>
            <w:hideMark/>
          </w:tcPr>
          <w:p w14:paraId="0DBDE48F"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48F5F340" w14:textId="77777777" w:rsidR="00194C32" w:rsidRPr="00CC7E97" w:rsidRDefault="00194C32" w:rsidP="00194C32">
            <w:pPr>
              <w:pStyle w:val="TLTBodyText"/>
              <w:rPr>
                <w:color w:val="000000"/>
              </w:rPr>
            </w:pPr>
            <w:r w:rsidRPr="00CC7E97">
              <w:rPr>
                <w:color w:val="000000"/>
              </w:rPr>
              <w:t>Technical Vulnerability Management</w:t>
            </w:r>
          </w:p>
        </w:tc>
        <w:tc>
          <w:tcPr>
            <w:tcW w:w="1550" w:type="dxa"/>
            <w:tcBorders>
              <w:top w:val="nil"/>
              <w:left w:val="nil"/>
              <w:bottom w:val="single" w:sz="4" w:space="0" w:color="auto"/>
              <w:right w:val="single" w:sz="4" w:space="0" w:color="auto"/>
            </w:tcBorders>
            <w:shd w:val="clear" w:color="auto" w:fill="auto"/>
            <w:hideMark/>
          </w:tcPr>
          <w:p w14:paraId="1E81CC06" w14:textId="77777777" w:rsidR="00194C32" w:rsidRPr="00CC7E97" w:rsidRDefault="00194C32" w:rsidP="00194C32">
            <w:pPr>
              <w:pStyle w:val="TLTBodyText"/>
              <w:rPr>
                <w:color w:val="000000"/>
              </w:rPr>
            </w:pPr>
            <w:r w:rsidRPr="00CC7E97">
              <w:rPr>
                <w:color w:val="000000"/>
              </w:rPr>
              <w:t xml:space="preserve">(B) Protecting Against Cyber Attack </w:t>
            </w:r>
          </w:p>
        </w:tc>
        <w:tc>
          <w:tcPr>
            <w:tcW w:w="1466" w:type="dxa"/>
            <w:tcBorders>
              <w:top w:val="nil"/>
              <w:left w:val="nil"/>
              <w:bottom w:val="single" w:sz="4" w:space="0" w:color="auto"/>
              <w:right w:val="single" w:sz="4" w:space="0" w:color="auto"/>
            </w:tcBorders>
            <w:shd w:val="clear" w:color="auto" w:fill="auto"/>
            <w:hideMark/>
          </w:tcPr>
          <w:p w14:paraId="747CB9A0"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6FEA18D9"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02C82210" w14:textId="77777777" w:rsidR="00194C32" w:rsidRPr="00CC7E97" w:rsidRDefault="00194C32" w:rsidP="00194C32">
            <w:pPr>
              <w:pStyle w:val="TLTBodyText"/>
              <w:rPr>
                <w:color w:val="000000"/>
              </w:rPr>
            </w:pPr>
            <w:r w:rsidRPr="00CC7E97">
              <w:rPr>
                <w:color w:val="000000"/>
              </w:rPr>
              <w:t>Reports</w:t>
            </w:r>
          </w:p>
        </w:tc>
        <w:tc>
          <w:tcPr>
            <w:tcW w:w="4821" w:type="dxa"/>
            <w:tcBorders>
              <w:top w:val="nil"/>
              <w:left w:val="nil"/>
              <w:bottom w:val="single" w:sz="4" w:space="0" w:color="auto"/>
              <w:right w:val="single" w:sz="4" w:space="0" w:color="auto"/>
            </w:tcBorders>
            <w:shd w:val="clear" w:color="auto" w:fill="auto"/>
            <w:hideMark/>
          </w:tcPr>
          <w:p w14:paraId="52CF8293" w14:textId="77777777" w:rsidR="00194C32" w:rsidRPr="00CC7E97" w:rsidRDefault="00194C32" w:rsidP="00D1435F">
            <w:pPr>
              <w:pStyle w:val="TLTBodyText"/>
            </w:pPr>
            <w:r w:rsidRPr="00CC7E97">
              <w:t>The supplier must perform an IT Health Check (ITHC) of the solution under the CHECK scheme (</w:t>
            </w:r>
            <w:hyperlink r:id="rId28" w:history="1">
              <w:r w:rsidR="00AA4008" w:rsidRPr="00B4556A">
                <w:rPr>
                  <w:rStyle w:val="Hyperlink"/>
                </w:rPr>
                <w:t>https://www.ncsc.gov.uk/information/check-penetration-testing</w:t>
              </w:r>
            </w:hyperlink>
            <w:r w:rsidRPr="00CC7E97">
              <w:t>)</w:t>
            </w:r>
            <w:r w:rsidR="004906B4" w:rsidRPr="00CC7E97">
              <w:t xml:space="preserve">.  </w:t>
            </w:r>
            <w:r w:rsidRPr="00CC7E97">
              <w:t xml:space="preserve">At a minimum, this must include (1) performing an ITHC within the last six months of service commencement, thereafter annually and upon significant change to the system (or a system component) (2) a scope that contains all components within the solution or a subset that has been approved by HMCTS (3) sharing ITHC report findings with HMCTS (4) remediation of all discovered vulnerabilities in accordance with the </w:t>
            </w:r>
            <w:r w:rsidRPr="00CC7E97">
              <w:rPr>
                <w:rStyle w:val="TLTBodyTextBoldChar"/>
              </w:rPr>
              <w:t>HMCTS Vulnerability Management Policy as shared</w:t>
            </w:r>
            <w:r w:rsidR="004906B4" w:rsidRPr="00CC7E97">
              <w:t>.</w:t>
            </w:r>
          </w:p>
        </w:tc>
      </w:tr>
      <w:tr w:rsidR="00194C32" w:rsidRPr="00CC7E97" w14:paraId="0C6B5361"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59262CAC" w14:textId="77777777" w:rsidR="00194C32" w:rsidRPr="00CC7E97" w:rsidRDefault="00194C32" w:rsidP="00194C32">
            <w:pPr>
              <w:pStyle w:val="TLTBodyText"/>
            </w:pPr>
            <w:r w:rsidRPr="00CC7E97">
              <w:t>SEC-14-006</w:t>
            </w:r>
          </w:p>
        </w:tc>
        <w:tc>
          <w:tcPr>
            <w:tcW w:w="1995" w:type="dxa"/>
            <w:tcBorders>
              <w:top w:val="nil"/>
              <w:left w:val="nil"/>
              <w:bottom w:val="single" w:sz="4" w:space="0" w:color="auto"/>
              <w:right w:val="single" w:sz="4" w:space="0" w:color="auto"/>
            </w:tcBorders>
            <w:shd w:val="clear" w:color="auto" w:fill="auto"/>
            <w:hideMark/>
          </w:tcPr>
          <w:p w14:paraId="288CADB5"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37F0CFD2" w14:textId="77777777" w:rsidR="00194C32" w:rsidRPr="00CC7E97" w:rsidRDefault="00194C32" w:rsidP="00194C32">
            <w:pPr>
              <w:pStyle w:val="TLTBodyText"/>
              <w:rPr>
                <w:color w:val="000000"/>
              </w:rPr>
            </w:pPr>
            <w:r w:rsidRPr="00CC7E97">
              <w:rPr>
                <w:color w:val="000000"/>
              </w:rPr>
              <w:t>Data Protection</w:t>
            </w:r>
          </w:p>
        </w:tc>
        <w:tc>
          <w:tcPr>
            <w:tcW w:w="1550" w:type="dxa"/>
            <w:tcBorders>
              <w:top w:val="nil"/>
              <w:left w:val="nil"/>
              <w:bottom w:val="single" w:sz="4" w:space="0" w:color="auto"/>
              <w:right w:val="single" w:sz="4" w:space="0" w:color="auto"/>
            </w:tcBorders>
            <w:shd w:val="clear" w:color="auto" w:fill="auto"/>
            <w:hideMark/>
          </w:tcPr>
          <w:p w14:paraId="2C6187AD"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349ED044" w14:textId="77777777" w:rsidR="00194C32" w:rsidRPr="00CC7E97" w:rsidRDefault="00194C32" w:rsidP="00194C32">
            <w:pPr>
              <w:pStyle w:val="TLTBodyText"/>
              <w:rPr>
                <w:color w:val="000000"/>
              </w:rPr>
            </w:pPr>
            <w:r w:rsidRPr="00CC7E97">
              <w:rPr>
                <w:color w:val="000000"/>
              </w:rPr>
              <w:t>Business Requirements Document</w:t>
            </w:r>
          </w:p>
        </w:tc>
        <w:tc>
          <w:tcPr>
            <w:tcW w:w="894" w:type="dxa"/>
            <w:tcBorders>
              <w:top w:val="nil"/>
              <w:left w:val="nil"/>
              <w:bottom w:val="single" w:sz="4" w:space="0" w:color="auto"/>
              <w:right w:val="single" w:sz="4" w:space="0" w:color="auto"/>
            </w:tcBorders>
            <w:shd w:val="clear" w:color="auto" w:fill="auto"/>
            <w:hideMark/>
          </w:tcPr>
          <w:p w14:paraId="4BA88111"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1A6C4424" w14:textId="77777777" w:rsidR="00194C32" w:rsidRPr="00CC7E97" w:rsidRDefault="00194C32" w:rsidP="00194C32">
            <w:pPr>
              <w:pStyle w:val="TLTBodyText"/>
              <w:rPr>
                <w:color w:val="000000"/>
              </w:rPr>
            </w:pPr>
            <w:r w:rsidRPr="00CC7E97">
              <w:rPr>
                <w:color w:val="000000"/>
              </w:rPr>
              <w:t>Technical Design Documents</w:t>
            </w:r>
          </w:p>
        </w:tc>
        <w:tc>
          <w:tcPr>
            <w:tcW w:w="4821" w:type="dxa"/>
            <w:tcBorders>
              <w:top w:val="nil"/>
              <w:left w:val="nil"/>
              <w:bottom w:val="single" w:sz="4" w:space="0" w:color="auto"/>
              <w:right w:val="single" w:sz="4" w:space="0" w:color="auto"/>
            </w:tcBorders>
            <w:shd w:val="clear" w:color="auto" w:fill="auto"/>
            <w:hideMark/>
          </w:tcPr>
          <w:p w14:paraId="467EE02F" w14:textId="77777777" w:rsidR="00194C32" w:rsidRPr="00CC7E97" w:rsidRDefault="00194C32" w:rsidP="00194C32">
            <w:pPr>
              <w:pStyle w:val="TLTBodyText"/>
            </w:pPr>
            <w:r w:rsidRPr="00CC7E97">
              <w:t>The solution must ensure all HMCTS data is stored, supported, and processed within the United Kingdom (UK)</w:t>
            </w:r>
            <w:r w:rsidR="004906B4" w:rsidRPr="00CC7E97">
              <w:t xml:space="preserve">.  </w:t>
            </w:r>
            <w:r w:rsidRPr="00CC7E97">
              <w:t>The HMCTS SIRO must approve any departure from this.</w:t>
            </w:r>
          </w:p>
        </w:tc>
      </w:tr>
      <w:tr w:rsidR="00194C32" w:rsidRPr="00CC7E97" w14:paraId="293FCCEF"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0C6A5DB9" w14:textId="77777777" w:rsidR="00194C32" w:rsidRPr="00CC7E97" w:rsidRDefault="00194C32" w:rsidP="00194C32">
            <w:pPr>
              <w:pStyle w:val="TLTBodyText"/>
            </w:pPr>
            <w:r w:rsidRPr="00CC7E97">
              <w:t>SEC-14-007</w:t>
            </w:r>
          </w:p>
        </w:tc>
        <w:tc>
          <w:tcPr>
            <w:tcW w:w="1995" w:type="dxa"/>
            <w:tcBorders>
              <w:top w:val="nil"/>
              <w:left w:val="nil"/>
              <w:bottom w:val="single" w:sz="4" w:space="0" w:color="auto"/>
              <w:right w:val="single" w:sz="4" w:space="0" w:color="auto"/>
            </w:tcBorders>
            <w:shd w:val="clear" w:color="auto" w:fill="auto"/>
            <w:hideMark/>
          </w:tcPr>
          <w:p w14:paraId="679A3F7F"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2382DB4E" w14:textId="77777777" w:rsidR="00194C32" w:rsidRPr="00CC7E97" w:rsidRDefault="00194C32" w:rsidP="00194C32">
            <w:pPr>
              <w:pStyle w:val="TLTBodyText"/>
              <w:rPr>
                <w:color w:val="000000"/>
              </w:rPr>
            </w:pPr>
            <w:r w:rsidRPr="00CC7E97">
              <w:rPr>
                <w:color w:val="000000"/>
              </w:rPr>
              <w:t>Data Protection</w:t>
            </w:r>
          </w:p>
        </w:tc>
        <w:tc>
          <w:tcPr>
            <w:tcW w:w="1550" w:type="dxa"/>
            <w:tcBorders>
              <w:top w:val="nil"/>
              <w:left w:val="nil"/>
              <w:bottom w:val="single" w:sz="4" w:space="0" w:color="auto"/>
              <w:right w:val="single" w:sz="4" w:space="0" w:color="auto"/>
            </w:tcBorders>
            <w:shd w:val="clear" w:color="auto" w:fill="auto"/>
            <w:hideMark/>
          </w:tcPr>
          <w:p w14:paraId="6E2415F3"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796B0A94"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1A81C0FC"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7ED548B4"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57531454" w14:textId="77777777" w:rsidR="00194C32" w:rsidRPr="00CC7E97" w:rsidRDefault="00194C32" w:rsidP="00194C32">
            <w:pPr>
              <w:pStyle w:val="TLTBodyText"/>
            </w:pPr>
            <w:r w:rsidRPr="00CC7E97">
              <w:t xml:space="preserve">The supplier must ensure that all aspects of the service provided to HMCTS is performed in accordance with Data Protection Legislation (UK GDPR and UK DPA), comply with both the law and good practice, respect the rights of individuals, be open and honest about how it </w:t>
            </w:r>
            <w:r w:rsidR="00651916">
              <w:t>H</w:t>
            </w:r>
            <w:r w:rsidRPr="00CC7E97">
              <w:t>andles personal data.</w:t>
            </w:r>
          </w:p>
        </w:tc>
      </w:tr>
      <w:tr w:rsidR="00194C32" w:rsidRPr="00CC7E97" w14:paraId="5E16690B"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0FA5AE51" w14:textId="77777777" w:rsidR="00194C32" w:rsidRPr="00CC7E97" w:rsidRDefault="00194C32" w:rsidP="00194C32">
            <w:pPr>
              <w:pStyle w:val="TLTBodyText"/>
            </w:pPr>
            <w:r w:rsidRPr="00CC7E97">
              <w:lastRenderedPageBreak/>
              <w:t>SEC-14-008</w:t>
            </w:r>
          </w:p>
        </w:tc>
        <w:tc>
          <w:tcPr>
            <w:tcW w:w="1995" w:type="dxa"/>
            <w:tcBorders>
              <w:top w:val="nil"/>
              <w:left w:val="nil"/>
              <w:bottom w:val="single" w:sz="4" w:space="0" w:color="auto"/>
              <w:right w:val="single" w:sz="4" w:space="0" w:color="auto"/>
            </w:tcBorders>
            <w:shd w:val="clear" w:color="auto" w:fill="auto"/>
            <w:hideMark/>
          </w:tcPr>
          <w:p w14:paraId="621D0375"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0E1A9BE3" w14:textId="77777777" w:rsidR="00194C32" w:rsidRPr="00CC7E97" w:rsidRDefault="00194C32" w:rsidP="00194C32">
            <w:pPr>
              <w:pStyle w:val="TLTBodyText"/>
              <w:rPr>
                <w:color w:val="000000"/>
              </w:rPr>
            </w:pPr>
            <w:r w:rsidRPr="00CC7E97">
              <w:rPr>
                <w:color w:val="000000"/>
              </w:rPr>
              <w:t>HMCTS Audit and Inspection</w:t>
            </w:r>
          </w:p>
        </w:tc>
        <w:tc>
          <w:tcPr>
            <w:tcW w:w="1550" w:type="dxa"/>
            <w:tcBorders>
              <w:top w:val="nil"/>
              <w:left w:val="nil"/>
              <w:bottom w:val="single" w:sz="4" w:space="0" w:color="auto"/>
              <w:right w:val="single" w:sz="4" w:space="0" w:color="auto"/>
            </w:tcBorders>
            <w:shd w:val="clear" w:color="auto" w:fill="auto"/>
            <w:hideMark/>
          </w:tcPr>
          <w:p w14:paraId="2DDB1B06"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49A87A90"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5F72C7CB"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51679CA6"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0EF16759" w14:textId="77777777" w:rsidR="00194C32" w:rsidRPr="00CC7E97" w:rsidRDefault="00194C32" w:rsidP="00194C32">
            <w:pPr>
              <w:pStyle w:val="TLTBodyText"/>
            </w:pPr>
            <w:r w:rsidRPr="00CC7E97">
              <w:t>The supplier must allow for audits and inspections of its data processing activity by HMCTS, or an auditor designated by HMCTS.</w:t>
            </w:r>
          </w:p>
        </w:tc>
      </w:tr>
      <w:tr w:rsidR="00194C32" w:rsidRPr="00CC7E97" w14:paraId="313B5769"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1CC8AF2D" w14:textId="77777777" w:rsidR="00194C32" w:rsidRPr="00CC7E97" w:rsidRDefault="00194C32" w:rsidP="00194C32">
            <w:pPr>
              <w:pStyle w:val="TLTBodyText"/>
            </w:pPr>
            <w:r w:rsidRPr="00CC7E97">
              <w:t>SEC-14-009</w:t>
            </w:r>
          </w:p>
        </w:tc>
        <w:tc>
          <w:tcPr>
            <w:tcW w:w="1995" w:type="dxa"/>
            <w:tcBorders>
              <w:top w:val="nil"/>
              <w:left w:val="nil"/>
              <w:bottom w:val="single" w:sz="4" w:space="0" w:color="auto"/>
              <w:right w:val="single" w:sz="4" w:space="0" w:color="auto"/>
            </w:tcBorders>
            <w:shd w:val="clear" w:color="auto" w:fill="auto"/>
            <w:hideMark/>
          </w:tcPr>
          <w:p w14:paraId="59F52591"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2CAF0BCF" w14:textId="77777777" w:rsidR="00194C32" w:rsidRPr="00CC7E97" w:rsidRDefault="00194C32" w:rsidP="00194C32">
            <w:pPr>
              <w:pStyle w:val="TLTBodyText"/>
              <w:rPr>
                <w:color w:val="000000"/>
              </w:rPr>
            </w:pPr>
            <w:r w:rsidRPr="00CC7E97">
              <w:rPr>
                <w:color w:val="000000"/>
              </w:rPr>
              <w:t>PCI DSS</w:t>
            </w:r>
          </w:p>
        </w:tc>
        <w:tc>
          <w:tcPr>
            <w:tcW w:w="1550" w:type="dxa"/>
            <w:tcBorders>
              <w:top w:val="nil"/>
              <w:left w:val="nil"/>
              <w:bottom w:val="single" w:sz="4" w:space="0" w:color="auto"/>
              <w:right w:val="single" w:sz="4" w:space="0" w:color="auto"/>
            </w:tcBorders>
            <w:shd w:val="clear" w:color="auto" w:fill="auto"/>
            <w:hideMark/>
          </w:tcPr>
          <w:p w14:paraId="5264DFC3"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02E91456"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42BDC836" w14:textId="77777777" w:rsidR="00194C32" w:rsidRPr="00CC7E97" w:rsidRDefault="00194C32" w:rsidP="00194C32">
            <w:pPr>
              <w:pStyle w:val="TLTBodyText"/>
              <w:rPr>
                <w:color w:val="000000"/>
              </w:rPr>
            </w:pPr>
            <w:r w:rsidRPr="00CC7E97">
              <w:rPr>
                <w:color w:val="000000"/>
              </w:rPr>
              <w:t>Must</w:t>
            </w:r>
          </w:p>
        </w:tc>
        <w:tc>
          <w:tcPr>
            <w:tcW w:w="1440" w:type="dxa"/>
            <w:tcBorders>
              <w:top w:val="nil"/>
              <w:left w:val="nil"/>
              <w:bottom w:val="single" w:sz="4" w:space="0" w:color="auto"/>
              <w:right w:val="single" w:sz="4" w:space="0" w:color="auto"/>
            </w:tcBorders>
            <w:shd w:val="clear" w:color="auto" w:fill="auto"/>
            <w:hideMark/>
          </w:tcPr>
          <w:p w14:paraId="05B69677" w14:textId="77777777" w:rsidR="00194C32" w:rsidRPr="00CC7E97" w:rsidRDefault="00194C32" w:rsidP="00194C32">
            <w:pPr>
              <w:pStyle w:val="TLTBodyText"/>
              <w:rPr>
                <w:color w:val="000000"/>
              </w:rPr>
            </w:pPr>
            <w:r w:rsidRPr="00CC7E97">
              <w:rPr>
                <w:color w:val="000000"/>
              </w:rPr>
              <w:t>Security Management Plan</w:t>
            </w:r>
          </w:p>
        </w:tc>
        <w:tc>
          <w:tcPr>
            <w:tcW w:w="4821" w:type="dxa"/>
            <w:tcBorders>
              <w:top w:val="nil"/>
              <w:left w:val="nil"/>
              <w:bottom w:val="single" w:sz="4" w:space="0" w:color="auto"/>
              <w:right w:val="single" w:sz="4" w:space="0" w:color="auto"/>
            </w:tcBorders>
            <w:shd w:val="clear" w:color="auto" w:fill="auto"/>
            <w:hideMark/>
          </w:tcPr>
          <w:p w14:paraId="48B70B5A" w14:textId="77777777" w:rsidR="00194C32" w:rsidRPr="00CC7E97" w:rsidRDefault="00194C32" w:rsidP="00194C32">
            <w:pPr>
              <w:pStyle w:val="TLTBodyText"/>
            </w:pPr>
            <w:r w:rsidRPr="00CC7E97">
              <w:t>The supplier must comply with the requirements of the Payment Card Industry Data Security Standards (PCI DSS) where applicable to the solution.</w:t>
            </w:r>
          </w:p>
        </w:tc>
      </w:tr>
      <w:tr w:rsidR="00194C32" w:rsidRPr="00CC7E97" w14:paraId="4B6CE0C1" w14:textId="77777777" w:rsidTr="00DB0016">
        <w:trPr>
          <w:trHeight w:val="284"/>
        </w:trPr>
        <w:tc>
          <w:tcPr>
            <w:tcW w:w="928" w:type="dxa"/>
            <w:tcBorders>
              <w:top w:val="nil"/>
              <w:left w:val="single" w:sz="4" w:space="0" w:color="auto"/>
              <w:bottom w:val="single" w:sz="4" w:space="0" w:color="auto"/>
              <w:right w:val="single" w:sz="4" w:space="0" w:color="auto"/>
            </w:tcBorders>
            <w:shd w:val="clear" w:color="auto" w:fill="auto"/>
            <w:hideMark/>
          </w:tcPr>
          <w:p w14:paraId="4C951735" w14:textId="77777777" w:rsidR="00194C32" w:rsidRPr="00CC7E97" w:rsidRDefault="00194C32" w:rsidP="00194C32">
            <w:pPr>
              <w:pStyle w:val="TLTBodyText"/>
            </w:pPr>
            <w:r w:rsidRPr="00CC7E97">
              <w:t>SEC-14-010</w:t>
            </w:r>
          </w:p>
        </w:tc>
        <w:tc>
          <w:tcPr>
            <w:tcW w:w="1995" w:type="dxa"/>
            <w:tcBorders>
              <w:top w:val="nil"/>
              <w:left w:val="nil"/>
              <w:bottom w:val="single" w:sz="4" w:space="0" w:color="auto"/>
              <w:right w:val="single" w:sz="4" w:space="0" w:color="auto"/>
            </w:tcBorders>
            <w:shd w:val="clear" w:color="auto" w:fill="auto"/>
            <w:hideMark/>
          </w:tcPr>
          <w:p w14:paraId="0EA831B6" w14:textId="77777777" w:rsidR="00194C32" w:rsidRPr="00CC7E97" w:rsidRDefault="00194C32" w:rsidP="00194C32">
            <w:pPr>
              <w:pStyle w:val="TLTBodyText"/>
              <w:rPr>
                <w:color w:val="000000"/>
              </w:rPr>
            </w:pPr>
            <w:r w:rsidRPr="00CC7E97">
              <w:rPr>
                <w:color w:val="000000"/>
              </w:rPr>
              <w:t>Compliance</w:t>
            </w:r>
          </w:p>
        </w:tc>
        <w:tc>
          <w:tcPr>
            <w:tcW w:w="1795" w:type="dxa"/>
            <w:tcBorders>
              <w:top w:val="nil"/>
              <w:left w:val="nil"/>
              <w:bottom w:val="single" w:sz="4" w:space="0" w:color="auto"/>
              <w:right w:val="single" w:sz="4" w:space="0" w:color="auto"/>
            </w:tcBorders>
            <w:shd w:val="clear" w:color="auto" w:fill="auto"/>
            <w:hideMark/>
          </w:tcPr>
          <w:p w14:paraId="6587C458" w14:textId="77777777" w:rsidR="00194C32" w:rsidRPr="00CC7E97" w:rsidRDefault="00194C32" w:rsidP="00194C32">
            <w:pPr>
              <w:pStyle w:val="TLTBodyText"/>
              <w:rPr>
                <w:color w:val="000000"/>
              </w:rPr>
            </w:pPr>
            <w:r w:rsidRPr="00CC7E97">
              <w:rPr>
                <w:color w:val="000000"/>
              </w:rPr>
              <w:t>Internal audit</w:t>
            </w:r>
          </w:p>
        </w:tc>
        <w:tc>
          <w:tcPr>
            <w:tcW w:w="1550" w:type="dxa"/>
            <w:tcBorders>
              <w:top w:val="nil"/>
              <w:left w:val="nil"/>
              <w:bottom w:val="single" w:sz="4" w:space="0" w:color="auto"/>
              <w:right w:val="single" w:sz="4" w:space="0" w:color="auto"/>
            </w:tcBorders>
            <w:shd w:val="clear" w:color="auto" w:fill="auto"/>
            <w:hideMark/>
          </w:tcPr>
          <w:p w14:paraId="24844AC6" w14:textId="77777777" w:rsidR="00194C32" w:rsidRPr="00CC7E97" w:rsidRDefault="00194C32" w:rsidP="00194C32">
            <w:pPr>
              <w:pStyle w:val="TLTBodyText"/>
              <w:rPr>
                <w:color w:val="000000"/>
              </w:rPr>
            </w:pPr>
            <w:r w:rsidRPr="00CC7E97">
              <w:rPr>
                <w:color w:val="000000"/>
              </w:rPr>
              <w:t>(A) Managing Security Risk</w:t>
            </w:r>
          </w:p>
        </w:tc>
        <w:tc>
          <w:tcPr>
            <w:tcW w:w="1466" w:type="dxa"/>
            <w:tcBorders>
              <w:top w:val="nil"/>
              <w:left w:val="nil"/>
              <w:bottom w:val="single" w:sz="4" w:space="0" w:color="auto"/>
              <w:right w:val="single" w:sz="4" w:space="0" w:color="auto"/>
            </w:tcBorders>
            <w:shd w:val="clear" w:color="auto" w:fill="auto"/>
            <w:hideMark/>
          </w:tcPr>
          <w:p w14:paraId="02354980" w14:textId="77777777" w:rsidR="00194C32" w:rsidRPr="00CC7E97" w:rsidRDefault="00194C32" w:rsidP="00194C32">
            <w:pPr>
              <w:pStyle w:val="TLTBodyText"/>
              <w:rPr>
                <w:color w:val="000000"/>
              </w:rPr>
            </w:pPr>
            <w:r w:rsidRPr="00CC7E97">
              <w:rPr>
                <w:color w:val="000000"/>
              </w:rPr>
              <w:t>Procurement</w:t>
            </w:r>
          </w:p>
        </w:tc>
        <w:tc>
          <w:tcPr>
            <w:tcW w:w="894" w:type="dxa"/>
            <w:tcBorders>
              <w:top w:val="nil"/>
              <w:left w:val="nil"/>
              <w:bottom w:val="single" w:sz="4" w:space="0" w:color="auto"/>
              <w:right w:val="single" w:sz="4" w:space="0" w:color="auto"/>
            </w:tcBorders>
            <w:shd w:val="clear" w:color="auto" w:fill="auto"/>
            <w:hideMark/>
          </w:tcPr>
          <w:p w14:paraId="5151767C" w14:textId="77777777" w:rsidR="00194C32" w:rsidRPr="00CC7E97" w:rsidRDefault="00194C32" w:rsidP="00194C32">
            <w:pPr>
              <w:pStyle w:val="TLTBodyText"/>
              <w:rPr>
                <w:color w:val="000000"/>
              </w:rPr>
            </w:pPr>
            <w:r w:rsidRPr="00CC7E97">
              <w:rPr>
                <w:color w:val="000000"/>
              </w:rPr>
              <w:t>Should</w:t>
            </w:r>
          </w:p>
        </w:tc>
        <w:tc>
          <w:tcPr>
            <w:tcW w:w="1440" w:type="dxa"/>
            <w:tcBorders>
              <w:top w:val="nil"/>
              <w:left w:val="nil"/>
              <w:bottom w:val="single" w:sz="4" w:space="0" w:color="auto"/>
              <w:right w:val="single" w:sz="4" w:space="0" w:color="auto"/>
            </w:tcBorders>
            <w:shd w:val="clear" w:color="auto" w:fill="auto"/>
            <w:hideMark/>
          </w:tcPr>
          <w:p w14:paraId="3D3B5BB9" w14:textId="77777777" w:rsidR="00194C32" w:rsidRPr="00CC7E97" w:rsidRDefault="00194C32" w:rsidP="00194C32">
            <w:pPr>
              <w:pStyle w:val="TLTBodyText"/>
              <w:rPr>
                <w:color w:val="000000"/>
              </w:rPr>
            </w:pPr>
            <w:r w:rsidRPr="00CC7E97">
              <w:rPr>
                <w:color w:val="000000"/>
              </w:rPr>
              <w:t>Reports</w:t>
            </w:r>
          </w:p>
        </w:tc>
        <w:tc>
          <w:tcPr>
            <w:tcW w:w="4821" w:type="dxa"/>
            <w:tcBorders>
              <w:top w:val="nil"/>
              <w:left w:val="nil"/>
              <w:bottom w:val="single" w:sz="4" w:space="0" w:color="auto"/>
              <w:right w:val="single" w:sz="4" w:space="0" w:color="auto"/>
            </w:tcBorders>
            <w:shd w:val="clear" w:color="auto" w:fill="auto"/>
            <w:hideMark/>
          </w:tcPr>
          <w:p w14:paraId="293AAF89" w14:textId="77777777" w:rsidR="00194C32" w:rsidRPr="00CC7E97" w:rsidRDefault="00194C32" w:rsidP="00194C32">
            <w:pPr>
              <w:pStyle w:val="TLTBodyText"/>
            </w:pPr>
            <w:r w:rsidRPr="00CC7E97">
              <w:t>The supplier should conduct internal security audits from time to time (and at least annually) across the scope of the ISMS and additionally after any change or amendment to the ISMS or Security Management Plan (SMP)</w:t>
            </w:r>
            <w:r w:rsidR="004906B4" w:rsidRPr="00CC7E97">
              <w:t xml:space="preserve">.  </w:t>
            </w:r>
            <w:r w:rsidRPr="00CC7E97">
              <w:t>At a minimum, security audit findings should be shared with HMCTS in the form of a report.</w:t>
            </w:r>
          </w:p>
        </w:tc>
      </w:tr>
    </w:tbl>
    <w:p w14:paraId="70FCDCE9" w14:textId="77777777" w:rsidR="00194C32" w:rsidRPr="00CC7E97" w:rsidRDefault="00194C32" w:rsidP="00194C32">
      <w:pPr>
        <w:pStyle w:val="TLTBodyText"/>
        <w:rPr>
          <w:rFonts w:asciiTheme="minorHAnsi" w:hAnsiTheme="minorHAnsi" w:cstheme="minorHAnsi"/>
          <w:b/>
          <w:bCs/>
          <w:u w:val="single"/>
        </w:rPr>
        <w:sectPr w:rsidR="00194C32" w:rsidRPr="00CC7E97" w:rsidSect="00ED4926">
          <w:footerReference w:type="default" r:id="rId29"/>
          <w:pgSz w:w="16840" w:h="11907" w:code="9"/>
          <w:pgMar w:top="1418" w:right="1418" w:bottom="1418" w:left="1418" w:header="709" w:footer="709" w:gutter="0"/>
          <w:cols w:space="720"/>
          <w:docGrid w:linePitch="299"/>
        </w:sectPr>
      </w:pPr>
    </w:p>
    <w:p w14:paraId="5BD6B0BA" w14:textId="77777777" w:rsidR="001E4E0E" w:rsidRPr="00C30AD2" w:rsidRDefault="001E4E0E" w:rsidP="008F3093">
      <w:pPr>
        <w:keepNext/>
        <w:keepLines/>
        <w:autoSpaceDE w:val="0"/>
        <w:autoSpaceDN w:val="0"/>
        <w:spacing w:before="100" w:after="200"/>
        <w:outlineLvl w:val="1"/>
      </w:pPr>
    </w:p>
    <w:sectPr w:rsidR="001E4E0E" w:rsidRPr="00C30AD2" w:rsidSect="00CE1F4A">
      <w:footerReference w:type="default" r:id="rId30"/>
      <w:pgSz w:w="16838" w:h="11906" w:orient="landscape"/>
      <w:pgMar w:top="851" w:right="1701" w:bottom="851"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57F0F" w14:textId="77777777" w:rsidR="00C311DC" w:rsidRDefault="00C311DC">
      <w:r>
        <w:separator/>
      </w:r>
    </w:p>
  </w:endnote>
  <w:endnote w:type="continuationSeparator" w:id="0">
    <w:p w14:paraId="53CFD5D5" w14:textId="77777777" w:rsidR="00C311DC" w:rsidRDefault="00C311DC">
      <w:r>
        <w:continuationSeparator/>
      </w:r>
    </w:p>
  </w:endnote>
  <w:endnote w:type="continuationNotice" w:id="1">
    <w:p w14:paraId="48622B63" w14:textId="77777777" w:rsidR="00C311DC" w:rsidRDefault="00C31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669"/>
      <w:gridCol w:w="4669"/>
      <w:gridCol w:w="4666"/>
    </w:tblGrid>
    <w:tr w:rsidR="00F90AE0" w:rsidRPr="00FE72EA" w14:paraId="4E9F5C6A" w14:textId="77777777" w:rsidTr="00743020">
      <w:tc>
        <w:tcPr>
          <w:tcW w:w="1667" w:type="pct"/>
        </w:tcPr>
        <w:p w14:paraId="6ABD5356" w14:textId="77777777" w:rsidR="00F90AE0" w:rsidRPr="00FE72EA" w:rsidRDefault="00F90AE0" w:rsidP="006132BE">
          <w:pPr>
            <w:rPr>
              <w:sz w:val="16"/>
              <w:szCs w:val="16"/>
            </w:rPr>
          </w:pPr>
          <w:r w:rsidRPr="00FE72EA">
            <w:rPr>
              <w:sz w:val="16"/>
              <w:szCs w:val="16"/>
            </w:rPr>
            <w:fldChar w:fldCharType="begin"/>
          </w:r>
          <w:r w:rsidRPr="00FE72EA">
            <w:rPr>
              <w:sz w:val="16"/>
              <w:szCs w:val="16"/>
            </w:rPr>
            <w:instrText xml:space="preserve"> DOCPROPERTY  "iManageFooter" </w:instrText>
          </w:r>
          <w:r w:rsidRPr="00FE72EA">
            <w:rPr>
              <w:sz w:val="16"/>
              <w:szCs w:val="16"/>
            </w:rPr>
            <w:fldChar w:fldCharType="separate"/>
          </w:r>
          <w:r w:rsidR="00DA2FE1">
            <w:rPr>
              <w:sz w:val="16"/>
              <w:szCs w:val="16"/>
            </w:rPr>
            <w:t>87291800.22</w:t>
          </w:r>
          <w:r w:rsidRPr="00FE72EA">
            <w:rPr>
              <w:sz w:val="16"/>
              <w:szCs w:val="16"/>
            </w:rPr>
            <w:fldChar w:fldCharType="end"/>
          </w:r>
        </w:p>
      </w:tc>
      <w:tc>
        <w:tcPr>
          <w:tcW w:w="1667" w:type="pct"/>
        </w:tcPr>
        <w:p w14:paraId="7C330BCA" w14:textId="77777777" w:rsidR="00F90AE0" w:rsidRPr="00FE72EA" w:rsidRDefault="00F90AE0" w:rsidP="006132BE">
          <w:pPr>
            <w:jc w:val="center"/>
            <w:rPr>
              <w:sz w:val="16"/>
              <w:szCs w:val="16"/>
            </w:rPr>
          </w:pPr>
          <w:r w:rsidRPr="00FE72EA">
            <w:rPr>
              <w:sz w:val="16"/>
              <w:szCs w:val="16"/>
            </w:rPr>
            <w:fldChar w:fldCharType="begin"/>
          </w:r>
          <w:r w:rsidRPr="00FE72EA">
            <w:rPr>
              <w:sz w:val="16"/>
              <w:szCs w:val="16"/>
            </w:rPr>
            <w:instrText xml:space="preserve"> PAGE   \* MERGEFORMAT </w:instrText>
          </w:r>
          <w:r w:rsidRPr="00FE72EA">
            <w:rPr>
              <w:sz w:val="16"/>
              <w:szCs w:val="16"/>
            </w:rPr>
            <w:fldChar w:fldCharType="separate"/>
          </w:r>
          <w:r w:rsidRPr="00FE72EA">
            <w:rPr>
              <w:sz w:val="16"/>
              <w:szCs w:val="16"/>
            </w:rPr>
            <w:t>1</w:t>
          </w:r>
          <w:r w:rsidRPr="00FE72EA">
            <w:rPr>
              <w:sz w:val="16"/>
              <w:szCs w:val="16"/>
            </w:rPr>
            <w:fldChar w:fldCharType="end"/>
          </w:r>
        </w:p>
      </w:tc>
      <w:tc>
        <w:tcPr>
          <w:tcW w:w="1667" w:type="pct"/>
        </w:tcPr>
        <w:p w14:paraId="4D5846C2" w14:textId="77777777" w:rsidR="00F90AE0" w:rsidRPr="00FE72EA" w:rsidRDefault="00F90AE0" w:rsidP="006132BE">
          <w:pPr>
            <w:jc w:val="right"/>
            <w:rPr>
              <w:sz w:val="16"/>
              <w:szCs w:val="16"/>
            </w:rPr>
          </w:pPr>
        </w:p>
      </w:tc>
    </w:tr>
  </w:tbl>
  <w:p w14:paraId="52A9237A" w14:textId="77777777" w:rsidR="00F90AE0" w:rsidRPr="00FE72EA" w:rsidRDefault="00F90AE0" w:rsidP="006132BE">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261"/>
      <w:gridCol w:w="3402"/>
      <w:gridCol w:w="4395"/>
    </w:tblGrid>
    <w:tr w:rsidR="00F90AE0" w:rsidRPr="006E2130" w14:paraId="2BC8DB81" w14:textId="77777777" w:rsidTr="00F90AE0">
      <w:tc>
        <w:tcPr>
          <w:tcW w:w="3261" w:type="dxa"/>
        </w:tcPr>
        <w:p w14:paraId="654FDB86" w14:textId="77777777" w:rsidR="00F90AE0" w:rsidRPr="006E2130" w:rsidRDefault="00DA2FE1" w:rsidP="0075025A">
          <w:pPr>
            <w:rPr>
              <w:sz w:val="16"/>
              <w:szCs w:val="16"/>
            </w:rPr>
          </w:pPr>
          <w:r w:rsidRPr="00DA2FE1">
            <w:rPr>
              <w:rFonts w:cs="Arial"/>
              <w:sz w:val="16"/>
              <w:szCs w:val="16"/>
            </w:rPr>
            <w:t>87291800.22</w:t>
          </w:r>
        </w:p>
      </w:tc>
      <w:tc>
        <w:tcPr>
          <w:tcW w:w="3402" w:type="dxa"/>
        </w:tcPr>
        <w:p w14:paraId="43A598CB" w14:textId="77777777" w:rsidR="00F90AE0" w:rsidRPr="006E2130" w:rsidRDefault="00F90AE0" w:rsidP="00F90AE0">
          <w:pPr>
            <w:ind w:left="1733"/>
            <w:jc w:val="center"/>
            <w:rPr>
              <w:sz w:val="16"/>
              <w:szCs w:val="16"/>
            </w:rPr>
          </w:pPr>
          <w:r w:rsidRPr="006E2130">
            <w:rPr>
              <w:sz w:val="16"/>
              <w:szCs w:val="16"/>
            </w:rPr>
            <w:fldChar w:fldCharType="begin"/>
          </w:r>
          <w:r w:rsidRPr="006E2130">
            <w:rPr>
              <w:sz w:val="16"/>
              <w:szCs w:val="16"/>
            </w:rPr>
            <w:instrText xml:space="preserve"> PAGE   \* MERGEFORMAT </w:instrText>
          </w:r>
          <w:r w:rsidRPr="006E2130">
            <w:rPr>
              <w:sz w:val="16"/>
              <w:szCs w:val="16"/>
            </w:rPr>
            <w:fldChar w:fldCharType="separate"/>
          </w:r>
          <w:r>
            <w:rPr>
              <w:sz w:val="16"/>
              <w:szCs w:val="16"/>
            </w:rPr>
            <w:t>448</w:t>
          </w:r>
          <w:r w:rsidRPr="006E2130">
            <w:rPr>
              <w:sz w:val="16"/>
              <w:szCs w:val="16"/>
            </w:rPr>
            <w:fldChar w:fldCharType="end"/>
          </w:r>
        </w:p>
      </w:tc>
      <w:tc>
        <w:tcPr>
          <w:tcW w:w="4395" w:type="dxa"/>
        </w:tcPr>
        <w:p w14:paraId="42E379EA" w14:textId="77777777" w:rsidR="00F90AE0" w:rsidRPr="006E2130" w:rsidRDefault="00F90AE0" w:rsidP="00F90AE0">
          <w:pPr>
            <w:ind w:left="109" w:right="-1502"/>
            <w:jc w:val="right"/>
            <w:rPr>
              <w:sz w:val="16"/>
              <w:szCs w:val="16"/>
            </w:rPr>
          </w:pPr>
        </w:p>
      </w:tc>
    </w:tr>
  </w:tbl>
  <w:p w14:paraId="5399A101" w14:textId="77777777" w:rsidR="00F90AE0" w:rsidRPr="0075025A" w:rsidRDefault="00F90AE0" w:rsidP="006132B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7D6A2" w14:textId="77777777" w:rsidR="00C311DC" w:rsidRDefault="00C311DC">
      <w:r>
        <w:separator/>
      </w:r>
    </w:p>
  </w:footnote>
  <w:footnote w:type="continuationSeparator" w:id="0">
    <w:p w14:paraId="7874C3EB" w14:textId="77777777" w:rsidR="00C311DC" w:rsidRDefault="00C311DC">
      <w:r>
        <w:continuationSeparator/>
      </w:r>
    </w:p>
  </w:footnote>
  <w:footnote w:type="continuationNotice" w:id="1">
    <w:p w14:paraId="680D73CD" w14:textId="77777777" w:rsidR="00C311DC" w:rsidRDefault="00C311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C60522"/>
    <w:multiLevelType w:val="hybridMultilevel"/>
    <w:tmpl w:val="00000000"/>
    <w:lvl w:ilvl="0" w:tplc="592EBDB4">
      <w:start w:val="1"/>
      <w:numFmt w:val="upperLetter"/>
      <w:pStyle w:val="TLTRecitals"/>
      <w:lvlText w:val="(%1)"/>
      <w:lvlJc w:val="left"/>
      <w:pPr>
        <w:ind w:left="720" w:hanging="720"/>
      </w:pPr>
      <w:rPr>
        <w:rFonts w:ascii="Arial" w:hAnsi="Arial" w:hint="default"/>
        <w:b w:val="0"/>
        <w:i w:val="0"/>
        <w:sz w:val="20"/>
      </w:rPr>
    </w:lvl>
    <w:lvl w:ilvl="1" w:tplc="3DC0579C">
      <w:start w:val="1"/>
      <w:numFmt w:val="decimal"/>
      <w:lvlText w:val=""/>
      <w:lvlJc w:val="left"/>
    </w:lvl>
    <w:lvl w:ilvl="2" w:tplc="7C3CAB00">
      <w:start w:val="1"/>
      <w:numFmt w:val="decimal"/>
      <w:lvlText w:val=""/>
      <w:lvlJc w:val="left"/>
    </w:lvl>
    <w:lvl w:ilvl="3" w:tplc="D1287A08">
      <w:start w:val="1"/>
      <w:numFmt w:val="decimal"/>
      <w:lvlText w:val=""/>
      <w:lvlJc w:val="left"/>
    </w:lvl>
    <w:lvl w:ilvl="4" w:tplc="14BCDCA8">
      <w:start w:val="1"/>
      <w:numFmt w:val="decimal"/>
      <w:lvlText w:val=""/>
      <w:lvlJc w:val="left"/>
    </w:lvl>
    <w:lvl w:ilvl="5" w:tplc="D264D28C">
      <w:start w:val="1"/>
      <w:numFmt w:val="decimal"/>
      <w:lvlText w:val=""/>
      <w:lvlJc w:val="left"/>
    </w:lvl>
    <w:lvl w:ilvl="6" w:tplc="E2D0F8B8">
      <w:start w:val="1"/>
      <w:numFmt w:val="decimal"/>
      <w:lvlText w:val=""/>
      <w:lvlJc w:val="left"/>
    </w:lvl>
    <w:lvl w:ilvl="7" w:tplc="68A4F5AC">
      <w:start w:val="1"/>
      <w:numFmt w:val="decimal"/>
      <w:lvlText w:val=""/>
      <w:lvlJc w:val="left"/>
    </w:lvl>
    <w:lvl w:ilvl="8" w:tplc="87C06608">
      <w:start w:val="1"/>
      <w:numFmt w:val="decimal"/>
      <w:lvlText w:val=""/>
      <w:lvlJc w:val="left"/>
    </w:lvl>
  </w:abstractNum>
  <w:abstractNum w:abstractNumId="1" w15:restartNumberingAfterBreak="0">
    <w:nsid w:val="96C3B6BA"/>
    <w:multiLevelType w:val="hybridMultilevel"/>
    <w:tmpl w:val="00000000"/>
    <w:lvl w:ilvl="0" w:tplc="755E3C7C">
      <w:start w:val="1"/>
      <w:numFmt w:val="decimal"/>
      <w:pStyle w:val="TLTPartiesBodyText"/>
      <w:lvlText w:val="(%1)"/>
      <w:lvlJc w:val="left"/>
      <w:pPr>
        <w:ind w:left="720" w:hanging="720"/>
      </w:pPr>
    </w:lvl>
    <w:lvl w:ilvl="1" w:tplc="C554D890">
      <w:start w:val="1"/>
      <w:numFmt w:val="decimal"/>
      <w:lvlText w:val=""/>
      <w:lvlJc w:val="left"/>
    </w:lvl>
    <w:lvl w:ilvl="2" w:tplc="84AE6DF0">
      <w:start w:val="1"/>
      <w:numFmt w:val="decimal"/>
      <w:lvlText w:val=""/>
      <w:lvlJc w:val="left"/>
    </w:lvl>
    <w:lvl w:ilvl="3" w:tplc="00006D50">
      <w:start w:val="1"/>
      <w:numFmt w:val="decimal"/>
      <w:lvlText w:val=""/>
      <w:lvlJc w:val="left"/>
    </w:lvl>
    <w:lvl w:ilvl="4" w:tplc="1E202D8C">
      <w:start w:val="1"/>
      <w:numFmt w:val="decimal"/>
      <w:lvlText w:val=""/>
      <w:lvlJc w:val="left"/>
    </w:lvl>
    <w:lvl w:ilvl="5" w:tplc="DAD47F78">
      <w:start w:val="1"/>
      <w:numFmt w:val="decimal"/>
      <w:lvlText w:val=""/>
      <w:lvlJc w:val="left"/>
    </w:lvl>
    <w:lvl w:ilvl="6" w:tplc="A9ACC050">
      <w:start w:val="1"/>
      <w:numFmt w:val="decimal"/>
      <w:lvlText w:val=""/>
      <w:lvlJc w:val="left"/>
    </w:lvl>
    <w:lvl w:ilvl="7" w:tplc="6C706640">
      <w:start w:val="1"/>
      <w:numFmt w:val="decimal"/>
      <w:lvlText w:val=""/>
      <w:lvlJc w:val="left"/>
    </w:lvl>
    <w:lvl w:ilvl="8" w:tplc="0278F6E2">
      <w:start w:val="1"/>
      <w:numFmt w:val="decimal"/>
      <w:lvlText w:val=""/>
      <w:lvlJc w:val="left"/>
    </w:lvl>
  </w:abstractNum>
  <w:abstractNum w:abstractNumId="2" w15:restartNumberingAfterBreak="0">
    <w:nsid w:val="AF5A548B"/>
    <w:multiLevelType w:val="multilevel"/>
    <w:tmpl w:val="72B2A5CE"/>
    <w:styleLink w:val="Scheduletext"/>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3" w15:restartNumberingAfterBreak="0">
    <w:nsid w:val="B63E8A33"/>
    <w:multiLevelType w:val="multilevel"/>
    <w:tmpl w:val="B0785D6C"/>
    <w:styleLink w:val="Level"/>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ind w:left="2523" w:hanging="720"/>
      </w:pPr>
      <w:rPr>
        <w:rFonts w:hint="default"/>
      </w:rPr>
    </w:lvl>
    <w:lvl w:ilvl="5">
      <w:start w:val="1"/>
      <w:numFmt w:val="upperLetter"/>
      <w:lvlText w:val="%6."/>
      <w:lvlJc w:val="left"/>
      <w:pPr>
        <w:ind w:left="2163" w:hanging="360"/>
      </w:p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4" w15:restartNumberingAfterBreak="0">
    <w:nsid w:val="CC96172E"/>
    <w:multiLevelType w:val="multilevel"/>
    <w:tmpl w:val="00000000"/>
    <w:lvl w:ilvl="0">
      <w:start w:val="1"/>
      <w:numFmt w:val="bullet"/>
      <w:pStyle w:val="TLTBullets"/>
      <w:lvlText w:val=""/>
      <w:lvlJc w:val="left"/>
      <w:pPr>
        <w:ind w:left="357" w:hanging="357"/>
      </w:pPr>
      <w:rPr>
        <w:rFonts w:ascii="Symbol" w:hAnsi="Symbol" w:hint="default"/>
        <w:b/>
        <w:caps w:val="0"/>
        <w:color w:val="00B3BA"/>
        <w:sz w:val="24"/>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DD4045A6"/>
    <w:multiLevelType w:val="multilevel"/>
    <w:tmpl w:val="9A0EAD0C"/>
    <w:styleLink w:val="Scheduleheading"/>
    <w:lvl w:ilvl="0">
      <w:start w:val="18"/>
      <w:numFmt w:val="decimal"/>
      <w:suff w:val="nothing"/>
      <w:lvlText w:val="Schedule %1"/>
      <w:lvlJc w:val="center"/>
      <w:pPr>
        <w:ind w:left="0" w:firstLine="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F4B0FBED"/>
    <w:multiLevelType w:val="hybridMultilevel"/>
    <w:tmpl w:val="00000000"/>
    <w:lvl w:ilvl="0" w:tplc="A4BA16C0">
      <w:start w:val="1"/>
      <w:numFmt w:val="decimal"/>
      <w:pStyle w:val="TLTParties"/>
      <w:lvlText w:val="(%1)"/>
      <w:lvlJc w:val="left"/>
      <w:pPr>
        <w:ind w:left="720" w:hanging="720"/>
      </w:pPr>
    </w:lvl>
    <w:lvl w:ilvl="1" w:tplc="34005A04">
      <w:start w:val="1"/>
      <w:numFmt w:val="decimal"/>
      <w:lvlText w:val=""/>
      <w:lvlJc w:val="left"/>
    </w:lvl>
    <w:lvl w:ilvl="2" w:tplc="AEF68A92">
      <w:start w:val="1"/>
      <w:numFmt w:val="decimal"/>
      <w:lvlText w:val=""/>
      <w:lvlJc w:val="left"/>
    </w:lvl>
    <w:lvl w:ilvl="3" w:tplc="A5949480">
      <w:start w:val="1"/>
      <w:numFmt w:val="decimal"/>
      <w:lvlText w:val=""/>
      <w:lvlJc w:val="left"/>
    </w:lvl>
    <w:lvl w:ilvl="4" w:tplc="6B10C876">
      <w:start w:val="1"/>
      <w:numFmt w:val="decimal"/>
      <w:lvlText w:val=""/>
      <w:lvlJc w:val="left"/>
    </w:lvl>
    <w:lvl w:ilvl="5" w:tplc="DF86B944">
      <w:start w:val="1"/>
      <w:numFmt w:val="decimal"/>
      <w:lvlText w:val=""/>
      <w:lvlJc w:val="left"/>
    </w:lvl>
    <w:lvl w:ilvl="6" w:tplc="16BC7200">
      <w:start w:val="1"/>
      <w:numFmt w:val="decimal"/>
      <w:lvlText w:val=""/>
      <w:lvlJc w:val="left"/>
    </w:lvl>
    <w:lvl w:ilvl="7" w:tplc="FAAAD11C">
      <w:start w:val="1"/>
      <w:numFmt w:val="decimal"/>
      <w:lvlText w:val=""/>
      <w:lvlJc w:val="left"/>
    </w:lvl>
    <w:lvl w:ilvl="8" w:tplc="BC3E4D1E">
      <w:start w:val="1"/>
      <w:numFmt w:val="decimal"/>
      <w:lvlText w:val=""/>
      <w:lvlJc w:val="left"/>
    </w:lvl>
  </w:abstractNum>
  <w:abstractNum w:abstractNumId="7" w15:restartNumberingAfterBreak="0">
    <w:nsid w:val="FDA5982D"/>
    <w:multiLevelType w:val="multilevel"/>
    <w:tmpl w:val="CACA1CF2"/>
    <w:lvl w:ilvl="0">
      <w:start w:val="1"/>
      <w:numFmt w:val="lowerLetter"/>
      <w:pStyle w:val="TLTDefinitionList"/>
      <w:lvlText w:val="(%1)"/>
      <w:lvlJc w:val="left"/>
      <w:pPr>
        <w:ind w:left="720" w:hanging="720"/>
      </w:pPr>
      <w:rPr>
        <w:rFonts w:hint="default"/>
      </w:rPr>
    </w:lvl>
    <w:lvl w:ilvl="1">
      <w:start w:val="1"/>
      <w:numFmt w:val="lowerRoman"/>
      <w:pStyle w:val="TLTDefinitionListLevel1"/>
      <w:lvlText w:val="(%2)"/>
      <w:lvlJc w:val="left"/>
      <w:pPr>
        <w:ind w:left="1440" w:hanging="72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8"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CE1160"/>
    <w:multiLevelType w:val="multilevel"/>
    <w:tmpl w:val="28F49D74"/>
    <w:styleLink w:val="NumbListBodyText"/>
    <w:lvl w:ilvl="0">
      <w:start w:val="1"/>
      <w:numFmt w:val="none"/>
      <w:suff w:val="nothing"/>
      <w:lvlText w:val=""/>
      <w:lvlJc w:val="left"/>
      <w:pPr>
        <w:ind w:left="680" w:firstLine="0"/>
      </w:pPr>
    </w:lvl>
    <w:lvl w:ilvl="1">
      <w:start w:val="1"/>
      <w:numFmt w:val="none"/>
      <w:suff w:val="nothing"/>
      <w:lvlText w:val=""/>
      <w:lvlJc w:val="left"/>
      <w:pPr>
        <w:ind w:left="680" w:firstLine="0"/>
      </w:pPr>
    </w:lvl>
    <w:lvl w:ilvl="2">
      <w:start w:val="1"/>
      <w:numFmt w:val="none"/>
      <w:suff w:val="nothing"/>
      <w:lvlText w:val=""/>
      <w:lvlJc w:val="left"/>
      <w:pPr>
        <w:ind w:left="1588" w:firstLine="0"/>
      </w:pPr>
    </w:lvl>
    <w:lvl w:ilvl="3">
      <w:start w:val="1"/>
      <w:numFmt w:val="none"/>
      <w:suff w:val="nothing"/>
      <w:lvlText w:val=""/>
      <w:lvlJc w:val="left"/>
      <w:pPr>
        <w:ind w:left="2041" w:firstLine="0"/>
      </w:pPr>
    </w:lvl>
    <w:lvl w:ilvl="4">
      <w:start w:val="1"/>
      <w:numFmt w:val="none"/>
      <w:suff w:val="nothing"/>
      <w:lvlText w:val=""/>
      <w:lvlJc w:val="left"/>
      <w:pPr>
        <w:ind w:left="2495" w:firstLine="0"/>
      </w:pPr>
    </w:lvl>
    <w:lvl w:ilvl="5">
      <w:start w:val="1"/>
      <w:numFmt w:val="none"/>
      <w:suff w:val="nothing"/>
      <w:lvlText w:val=""/>
      <w:lvlJc w:val="left"/>
      <w:pPr>
        <w:ind w:left="2948" w:firstLine="0"/>
      </w:pPr>
    </w:lvl>
    <w:lvl w:ilvl="6">
      <w:start w:val="1"/>
      <w:numFmt w:val="none"/>
      <w:suff w:val="nothing"/>
      <w:lvlText w:val=""/>
      <w:lvlJc w:val="left"/>
      <w:pPr>
        <w:ind w:left="2608" w:firstLine="0"/>
      </w:pPr>
    </w:lvl>
    <w:lvl w:ilvl="7">
      <w:start w:val="1"/>
      <w:numFmt w:val="none"/>
      <w:suff w:val="nothing"/>
      <w:lvlText w:val=""/>
      <w:lvlJc w:val="left"/>
      <w:pPr>
        <w:ind w:left="3062" w:firstLine="0"/>
      </w:pPr>
    </w:lvl>
    <w:lvl w:ilvl="8">
      <w:start w:val="1"/>
      <w:numFmt w:val="none"/>
      <w:suff w:val="nothing"/>
      <w:lvlText w:val=""/>
      <w:lvlJc w:val="left"/>
      <w:pPr>
        <w:ind w:left="3515" w:firstLine="0"/>
      </w:pPr>
    </w:lvl>
  </w:abstractNum>
  <w:abstractNum w:abstractNumId="10" w15:restartNumberingAfterBreak="0">
    <w:nsid w:val="01164D15"/>
    <w:multiLevelType w:val="hybridMultilevel"/>
    <w:tmpl w:val="E70690B2"/>
    <w:lvl w:ilvl="0" w:tplc="86A0103A">
      <w:start w:val="1"/>
      <w:numFmt w:val="decimal"/>
      <w:lvlText w:val="(%1)"/>
      <w:lvlJc w:val="left"/>
      <w:pPr>
        <w:tabs>
          <w:tab w:val="num" w:pos="720"/>
        </w:tabs>
        <w:ind w:left="720" w:hanging="72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2D89BBD"/>
    <w:multiLevelType w:val="multilevel"/>
    <w:tmpl w:val="A3B62992"/>
    <w:styleLink w:val="Appendix"/>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2" w15:restartNumberingAfterBreak="0">
    <w:nsid w:val="04B25061"/>
    <w:multiLevelType w:val="multilevel"/>
    <w:tmpl w:val="EF82FE32"/>
    <w:lvl w:ilvl="0">
      <w:start w:val="4"/>
      <w:numFmt w:val="decimal"/>
      <w:lvlText w:val="%1"/>
      <w:lvlJc w:val="left"/>
      <w:pPr>
        <w:ind w:left="720" w:hanging="720"/>
      </w:pPr>
      <w:rPr>
        <w:rFonts w:hint="default"/>
        <w:b w:val="0"/>
        <w:sz w:val="24"/>
        <w:szCs w:val="24"/>
      </w:rPr>
    </w:lvl>
    <w:lvl w:ilvl="1">
      <w:start w:val="1"/>
      <w:numFmt w:val="decimal"/>
      <w:lvlText w:val="%1.%2"/>
      <w:lvlJc w:val="left"/>
      <w:pPr>
        <w:ind w:left="720" w:hanging="720"/>
      </w:pPr>
      <w:rPr>
        <w:rFonts w:hint="default"/>
        <w:b w:val="0"/>
        <w:bCs w:val="0"/>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243"/>
        </w:tabs>
        <w:ind w:left="3243" w:hanging="720"/>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3" w15:restartNumberingAfterBreak="0">
    <w:nsid w:val="05BB75C3"/>
    <w:multiLevelType w:val="hybridMultilevel"/>
    <w:tmpl w:val="F4D2E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0BAAE5"/>
    <w:multiLevelType w:val="multilevel"/>
    <w:tmpl w:val="0F745380"/>
    <w:styleLink w:val="Bullets"/>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15" w15:restartNumberingAfterBreak="0">
    <w:nsid w:val="12FD19A5"/>
    <w:multiLevelType w:val="hybridMultilevel"/>
    <w:tmpl w:val="0562B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292EDB"/>
    <w:multiLevelType w:val="hybridMultilevel"/>
    <w:tmpl w:val="00000000"/>
    <w:lvl w:ilvl="0" w:tplc="FA4A7038">
      <w:start w:val="1"/>
      <w:numFmt w:val="decimal"/>
      <w:pStyle w:val="TLTPartiesFrontSheet"/>
      <w:lvlText w:val="(%1)"/>
      <w:lvlJc w:val="left"/>
      <w:pPr>
        <w:ind w:left="720" w:hanging="720"/>
      </w:pPr>
      <w:rPr>
        <w:rFonts w:ascii="Arial" w:hAnsi="Arial" w:hint="default"/>
        <w:b w:val="0"/>
        <w:i w:val="0"/>
        <w:sz w:val="20"/>
      </w:rPr>
    </w:lvl>
    <w:lvl w:ilvl="1" w:tplc="AA4A6020">
      <w:start w:val="1"/>
      <w:numFmt w:val="decimal"/>
      <w:lvlText w:val=""/>
      <w:lvlJc w:val="left"/>
    </w:lvl>
    <w:lvl w:ilvl="2" w:tplc="43B02E00">
      <w:start w:val="1"/>
      <w:numFmt w:val="decimal"/>
      <w:lvlText w:val=""/>
      <w:lvlJc w:val="left"/>
    </w:lvl>
    <w:lvl w:ilvl="3" w:tplc="1DAEE34C">
      <w:start w:val="1"/>
      <w:numFmt w:val="decimal"/>
      <w:lvlText w:val=""/>
      <w:lvlJc w:val="left"/>
    </w:lvl>
    <w:lvl w:ilvl="4" w:tplc="88BAB53A">
      <w:start w:val="1"/>
      <w:numFmt w:val="decimal"/>
      <w:lvlText w:val=""/>
      <w:lvlJc w:val="left"/>
    </w:lvl>
    <w:lvl w:ilvl="5" w:tplc="EB2A4454">
      <w:start w:val="1"/>
      <w:numFmt w:val="decimal"/>
      <w:lvlText w:val=""/>
      <w:lvlJc w:val="left"/>
    </w:lvl>
    <w:lvl w:ilvl="6" w:tplc="99DE4624">
      <w:start w:val="1"/>
      <w:numFmt w:val="decimal"/>
      <w:lvlText w:val=""/>
      <w:lvlJc w:val="left"/>
    </w:lvl>
    <w:lvl w:ilvl="7" w:tplc="53C66396">
      <w:start w:val="1"/>
      <w:numFmt w:val="decimal"/>
      <w:lvlText w:val=""/>
      <w:lvlJc w:val="left"/>
    </w:lvl>
    <w:lvl w:ilvl="8" w:tplc="CFAC8204">
      <w:start w:val="1"/>
      <w:numFmt w:val="decimal"/>
      <w:lvlText w:val=""/>
      <w:lvlJc w:val="left"/>
    </w:lvl>
  </w:abstractNum>
  <w:abstractNum w:abstractNumId="17" w15:restartNumberingAfterBreak="0">
    <w:nsid w:val="1A3C373D"/>
    <w:multiLevelType w:val="multilevel"/>
    <w:tmpl w:val="B0DECF2A"/>
    <w:lvl w:ilvl="0">
      <w:start w:val="1"/>
      <w:numFmt w:val="decimal"/>
      <w:pStyle w:val="TLTScheduleHeading"/>
      <w:suff w:val="nothing"/>
      <w:lvlText w:val="Schedule %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1F0119CF"/>
    <w:multiLevelType w:val="multilevel"/>
    <w:tmpl w:val="00000000"/>
    <w:lvl w:ilvl="0">
      <w:start w:val="1"/>
      <w:numFmt w:val="bullet"/>
      <w:pStyle w:val="TLTBulletsBody"/>
      <w:lvlText w:val=""/>
      <w:lvlJc w:val="left"/>
      <w:pPr>
        <w:ind w:left="720" w:hanging="720"/>
      </w:pPr>
      <w:rPr>
        <w:rFonts w:ascii="Symbol" w:hAnsi="Symbol" w:hint="default"/>
      </w:rPr>
    </w:lvl>
    <w:lvl w:ilvl="1">
      <w:start w:val="1"/>
      <w:numFmt w:val="bullet"/>
      <w:pStyle w:val="TLTBulletsLevel1"/>
      <w:lvlText w:val=""/>
      <w:lvlJc w:val="left"/>
      <w:pPr>
        <w:ind w:left="1803" w:hanging="1083"/>
      </w:pPr>
      <w:rPr>
        <w:rFonts w:ascii="Symbol" w:hAnsi="Symbol" w:hint="default"/>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1F566CF2"/>
    <w:multiLevelType w:val="multilevel"/>
    <w:tmpl w:val="DCE6029C"/>
    <w:lvl w:ilvl="0">
      <w:start w:val="1"/>
      <w:numFmt w:val="decimal"/>
      <w:pStyle w:val="AppendixText3"/>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pStyle w:val="AppendixText3"/>
      <w:lvlText w:val="%1.%2.%3"/>
      <w:lvlJc w:val="left"/>
      <w:pPr>
        <w:ind w:left="1803" w:hanging="1083"/>
      </w:pPr>
      <w:rPr>
        <w:rFonts w:hint="default"/>
      </w:rPr>
    </w:lvl>
    <w:lvl w:ilvl="3">
      <w:start w:val="1"/>
      <w:numFmt w:val="lowerLetter"/>
      <w:pStyle w:val="AppendixText4"/>
      <w:lvlText w:val="(%4)"/>
      <w:lvlJc w:val="left"/>
      <w:pPr>
        <w:ind w:left="1803" w:hanging="1083"/>
      </w:pPr>
      <w:rPr>
        <w:rFonts w:hint="default"/>
      </w:rPr>
    </w:lvl>
    <w:lvl w:ilvl="4">
      <w:start w:val="1"/>
      <w:numFmt w:val="lowerRoman"/>
      <w:pStyle w:val="AppendixText5"/>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20" w15:restartNumberingAfterBreak="0">
    <w:nsid w:val="22085A58"/>
    <w:multiLevelType w:val="multilevel"/>
    <w:tmpl w:val="28FEF948"/>
    <w:styleLink w:val="Appendixheading"/>
    <w:lvl w:ilvl="0">
      <w:start w:val="1"/>
      <w:numFmt w:val="upperLetter"/>
      <w:suff w:val="nothing"/>
      <w:lvlText w:val="Appendix %1"/>
      <w:lvlJc w:val="center"/>
      <w:pPr>
        <w:ind w:left="0" w:firstLine="567"/>
      </w:pPr>
      <w:rPr>
        <w:rFonts w:hint="default"/>
      </w:rPr>
    </w:lvl>
    <w:lvl w:ilvl="1">
      <w:start w:val="1"/>
      <w:numFmt w:val="none"/>
      <w:lvlText w:val=""/>
      <w:lvlJc w:val="left"/>
      <w:pPr>
        <w:tabs>
          <w:tab w:val="num" w:pos="567"/>
        </w:tabs>
        <w:ind w:left="0" w:firstLine="0"/>
      </w:pPr>
      <w:rPr>
        <w:rFonts w:hint="default"/>
      </w:rPr>
    </w:lvl>
    <w:lvl w:ilvl="2">
      <w:start w:val="1"/>
      <w:numFmt w:val="none"/>
      <w:lvlText w:val=""/>
      <w:lvlJc w:val="left"/>
      <w:pPr>
        <w:tabs>
          <w:tab w:val="num" w:pos="567"/>
        </w:tabs>
        <w:ind w:left="0" w:firstLine="0"/>
      </w:pPr>
      <w:rPr>
        <w:rFonts w:hint="default"/>
      </w:rPr>
    </w:lvl>
    <w:lvl w:ilvl="3">
      <w:start w:val="1"/>
      <w:numFmt w:val="none"/>
      <w:lvlText w:val=""/>
      <w:lvlJc w:val="left"/>
      <w:pPr>
        <w:tabs>
          <w:tab w:val="num" w:pos="567"/>
        </w:tabs>
        <w:ind w:left="0" w:firstLine="0"/>
      </w:pPr>
      <w:rPr>
        <w:rFonts w:hint="default"/>
      </w:rPr>
    </w:lvl>
    <w:lvl w:ilvl="4">
      <w:start w:val="1"/>
      <w:numFmt w:val="none"/>
      <w:lvlText w:val=""/>
      <w:lvlJc w:val="left"/>
      <w:pPr>
        <w:tabs>
          <w:tab w:val="num" w:pos="567"/>
        </w:tabs>
        <w:ind w:left="0" w:firstLine="0"/>
      </w:pPr>
      <w:rPr>
        <w:rFonts w:hint="default"/>
      </w:rPr>
    </w:lvl>
    <w:lvl w:ilvl="5">
      <w:start w:val="1"/>
      <w:numFmt w:val="none"/>
      <w:lvlText w:val=""/>
      <w:lvlJc w:val="left"/>
      <w:pPr>
        <w:tabs>
          <w:tab w:val="num" w:pos="567"/>
        </w:tabs>
        <w:ind w:left="0" w:firstLine="0"/>
      </w:pPr>
      <w:rPr>
        <w:rFonts w:hint="default"/>
      </w:rPr>
    </w:lvl>
    <w:lvl w:ilvl="6">
      <w:start w:val="1"/>
      <w:numFmt w:val="none"/>
      <w:lvlText w:val=""/>
      <w:lvlJc w:val="left"/>
      <w:pPr>
        <w:tabs>
          <w:tab w:val="num" w:pos="567"/>
        </w:tabs>
        <w:ind w:left="0" w:firstLine="0"/>
      </w:pPr>
      <w:rPr>
        <w:rFonts w:hint="default"/>
      </w:rPr>
    </w:lvl>
    <w:lvl w:ilvl="7">
      <w:start w:val="1"/>
      <w:numFmt w:val="none"/>
      <w:lvlText w:val=""/>
      <w:lvlJc w:val="left"/>
      <w:pPr>
        <w:tabs>
          <w:tab w:val="num" w:pos="567"/>
        </w:tabs>
        <w:ind w:left="0" w:firstLine="0"/>
      </w:pPr>
      <w:rPr>
        <w:rFonts w:hint="default"/>
      </w:rPr>
    </w:lvl>
    <w:lvl w:ilvl="8">
      <w:start w:val="1"/>
      <w:numFmt w:val="none"/>
      <w:lvlText w:val=""/>
      <w:lvlJc w:val="left"/>
      <w:pPr>
        <w:tabs>
          <w:tab w:val="num" w:pos="567"/>
        </w:tabs>
        <w:ind w:left="0" w:firstLine="0"/>
      </w:pPr>
      <w:rPr>
        <w:rFonts w:hint="default"/>
      </w:rPr>
    </w:lvl>
  </w:abstractNum>
  <w:abstractNum w:abstractNumId="21" w15:restartNumberingAfterBreak="0">
    <w:nsid w:val="259E499C"/>
    <w:multiLevelType w:val="multilevel"/>
    <w:tmpl w:val="00000000"/>
    <w:lvl w:ilvl="0">
      <w:start w:val="1"/>
      <w:numFmt w:val="bullet"/>
      <w:lvlText w:val=""/>
      <w:lvlJc w:val="left"/>
      <w:pPr>
        <w:ind w:left="720" w:hanging="720"/>
      </w:pPr>
      <w:rPr>
        <w:rFonts w:ascii="Symbol" w:hAnsi="Symbol" w:hint="default"/>
      </w:rPr>
    </w:lvl>
    <w:lvl w:ilvl="1">
      <w:start w:val="1"/>
      <w:numFmt w:val="bullet"/>
      <w:pStyle w:val="BulletsLevel1"/>
      <w:lvlText w:val=""/>
      <w:lvlJc w:val="left"/>
      <w:pPr>
        <w:ind w:left="1803" w:hanging="1083"/>
      </w:pPr>
      <w:rPr>
        <w:rFonts w:ascii="Symbol" w:hAnsi="Symbol" w:hint="default"/>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15:restartNumberingAfterBreak="0">
    <w:nsid w:val="2A664158"/>
    <w:multiLevelType w:val="multilevel"/>
    <w:tmpl w:val="D6C6E15A"/>
    <w:lvl w:ilvl="0">
      <w:start w:val="1"/>
      <w:numFmt w:val="lowerLetter"/>
      <w:lvlText w:val="(%1)"/>
      <w:lvlJc w:val="left"/>
      <w:pPr>
        <w:tabs>
          <w:tab w:val="num" w:pos="720"/>
        </w:tabs>
        <w:ind w:left="720" w:hanging="720"/>
      </w:pPr>
      <w:rPr>
        <w:rFonts w:hint="default"/>
        <w:b w:val="0"/>
        <w:bCs/>
        <w:i w:val="0"/>
        <w:iCs/>
        <w:color w:val="000000"/>
      </w:rPr>
    </w:lvl>
    <w:lvl w:ilvl="1">
      <w:start w:val="1"/>
      <w:numFmt w:val="lowerRoman"/>
      <w:lvlText w:val="(%2)"/>
      <w:lvlJc w:val="left"/>
      <w:pPr>
        <w:tabs>
          <w:tab w:val="num" w:pos="1440"/>
        </w:tabs>
        <w:ind w:left="1440" w:hanging="720"/>
      </w:pPr>
      <w:rPr>
        <w:rFonts w:hint="default"/>
        <w:color w:val="000000"/>
      </w:rPr>
    </w:lvl>
    <w:lvl w:ilvl="2">
      <w:start w:val="1"/>
      <w:numFmt w:val="decimal"/>
      <w:pStyle w:val="TLTDefinitionListLevel2"/>
      <w:lvlText w:val="(%3)"/>
      <w:lvlJc w:val="left"/>
      <w:pPr>
        <w:tabs>
          <w:tab w:val="num" w:pos="2880"/>
        </w:tabs>
        <w:ind w:left="2880" w:hanging="720"/>
      </w:pPr>
      <w:rPr>
        <w:rFonts w:hint="default"/>
        <w:color w:val="000000"/>
      </w:rPr>
    </w:lvl>
    <w:lvl w:ilvl="3">
      <w:start w:val="1"/>
      <w:numFmt w:val="upperLetter"/>
      <w:lvlText w:val="(%4)"/>
      <w:lvlJc w:val="left"/>
      <w:pPr>
        <w:ind w:left="2880" w:firstLine="720"/>
      </w:pPr>
      <w:rPr>
        <w:rFonts w:hint="default"/>
      </w:rPr>
    </w:lvl>
    <w:lvl w:ilvl="4">
      <w:start w:val="1"/>
      <w:numFmt w:val="decimal"/>
      <w:lvlText w:val=""/>
      <w:lvlJc w:val="left"/>
      <w:pPr>
        <w:ind w:left="5040" w:hanging="720"/>
      </w:pPr>
      <w:rPr>
        <w:rFonts w:hint="default"/>
        <w:color w:val="000000"/>
      </w:rPr>
    </w:lvl>
    <w:lvl w:ilvl="5">
      <w:start w:val="1"/>
      <w:numFmt w:val="decimal"/>
      <w:lvlText w:val=""/>
      <w:lvlJc w:val="left"/>
      <w:pPr>
        <w:ind w:left="5760" w:hanging="720"/>
      </w:pPr>
      <w:rPr>
        <w:rFonts w:hint="default"/>
      </w:rPr>
    </w:lvl>
    <w:lvl w:ilvl="6">
      <w:start w:val="1"/>
      <w:numFmt w:val="decimal"/>
      <w:lvlText w:val=""/>
      <w:lvlJc w:val="left"/>
      <w:pPr>
        <w:ind w:left="6480" w:hanging="720"/>
      </w:pPr>
      <w:rPr>
        <w:rFonts w:hint="default"/>
      </w:rPr>
    </w:lvl>
    <w:lvl w:ilvl="7">
      <w:start w:val="1"/>
      <w:numFmt w:val="decimal"/>
      <w:lvlText w:val=""/>
      <w:lvlJc w:val="left"/>
      <w:pPr>
        <w:ind w:left="7200" w:hanging="720"/>
      </w:pPr>
      <w:rPr>
        <w:rFonts w:hint="default"/>
      </w:rPr>
    </w:lvl>
    <w:lvl w:ilvl="8">
      <w:start w:val="1"/>
      <w:numFmt w:val="decimal"/>
      <w:lvlText w:val=""/>
      <w:lvlJc w:val="left"/>
      <w:pPr>
        <w:ind w:left="7920" w:hanging="720"/>
      </w:pPr>
      <w:rPr>
        <w:rFonts w:hint="default"/>
      </w:rPr>
    </w:lvl>
  </w:abstractNum>
  <w:abstractNum w:abstractNumId="23" w15:restartNumberingAfterBreak="0">
    <w:nsid w:val="2CE504C4"/>
    <w:multiLevelType w:val="multilevel"/>
    <w:tmpl w:val="0BB0AE0E"/>
    <w:lvl w:ilvl="0">
      <w:start w:val="1"/>
      <w:numFmt w:val="decimal"/>
      <w:lvlText w:val="%1"/>
      <w:lvlJc w:val="left"/>
      <w:pPr>
        <w:ind w:left="720" w:hanging="720"/>
      </w:pPr>
      <w:rPr>
        <w:rFonts w:hint="default"/>
        <w:sz w:val="20"/>
        <w:szCs w:val="20"/>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tabs>
          <w:tab w:val="num" w:pos="2523"/>
        </w:tabs>
        <w:ind w:left="2523" w:hanging="720"/>
      </w:pPr>
      <w:rPr>
        <w:rFonts w:hint="default"/>
      </w:rPr>
    </w:lvl>
    <w:lvl w:ilvl="4">
      <w:start w:val="1"/>
      <w:numFmt w:val="lowerRoman"/>
      <w:lvlText w:val="(%5)"/>
      <w:lvlJc w:val="left"/>
      <w:pPr>
        <w:tabs>
          <w:tab w:val="num" w:pos="3243"/>
        </w:tabs>
        <w:ind w:left="3243" w:hanging="720"/>
      </w:pPr>
      <w:rPr>
        <w:rFonts w:hint="default"/>
      </w:rPr>
    </w:lvl>
    <w:lvl w:ilvl="5">
      <w:start w:val="1"/>
      <w:numFmt w:val="upperLetter"/>
      <w:lvlText w:val="(%6)"/>
      <w:lvlJc w:val="left"/>
      <w:pPr>
        <w:tabs>
          <w:tab w:val="num" w:pos="3963"/>
        </w:tabs>
        <w:ind w:left="3963" w:hanging="720"/>
      </w:pPr>
      <w:rPr>
        <w:rFonts w:hint="default"/>
      </w:rPr>
    </w:lvl>
    <w:lvl w:ilvl="6">
      <w:start w:val="1"/>
      <w:numFmt w:val="decimal"/>
      <w:lvlText w:val="(%7)"/>
      <w:lvlJc w:val="left"/>
      <w:pPr>
        <w:tabs>
          <w:tab w:val="num" w:pos="4683"/>
        </w:tabs>
        <w:ind w:left="468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24" w15:restartNumberingAfterBreak="0">
    <w:nsid w:val="2E5003B0"/>
    <w:multiLevelType w:val="hybridMultilevel"/>
    <w:tmpl w:val="53044DF2"/>
    <w:lvl w:ilvl="0" w:tplc="C094714C">
      <w:start w:val="1"/>
      <w:numFmt w:val="bullet"/>
      <w:lvlText w:val=""/>
      <w:lvlJc w:val="left"/>
      <w:pPr>
        <w:ind w:left="720" w:hanging="360"/>
      </w:pPr>
      <w:rPr>
        <w:rFonts w:ascii="Symbol" w:hAnsi="Symbol" w:hint="default"/>
      </w:rPr>
    </w:lvl>
    <w:lvl w:ilvl="1" w:tplc="15246F20">
      <w:start w:val="1"/>
      <w:numFmt w:val="bullet"/>
      <w:lvlText w:val="o"/>
      <w:lvlJc w:val="left"/>
      <w:pPr>
        <w:ind w:left="1440" w:hanging="360"/>
      </w:pPr>
      <w:rPr>
        <w:rFonts w:ascii="Courier New" w:hAnsi="Courier New" w:hint="default"/>
      </w:rPr>
    </w:lvl>
    <w:lvl w:ilvl="2" w:tplc="7CD8F67A">
      <w:start w:val="1"/>
      <w:numFmt w:val="bullet"/>
      <w:lvlText w:val=""/>
      <w:lvlJc w:val="left"/>
      <w:pPr>
        <w:ind w:left="2160" w:hanging="360"/>
      </w:pPr>
      <w:rPr>
        <w:rFonts w:ascii="Wingdings" w:hAnsi="Wingdings" w:hint="default"/>
      </w:rPr>
    </w:lvl>
    <w:lvl w:ilvl="3" w:tplc="4B3A48C0">
      <w:start w:val="1"/>
      <w:numFmt w:val="bullet"/>
      <w:lvlText w:val=""/>
      <w:lvlJc w:val="left"/>
      <w:pPr>
        <w:ind w:left="2880" w:hanging="360"/>
      </w:pPr>
      <w:rPr>
        <w:rFonts w:ascii="Symbol" w:hAnsi="Symbol" w:hint="default"/>
      </w:rPr>
    </w:lvl>
    <w:lvl w:ilvl="4" w:tplc="4D90E392">
      <w:start w:val="1"/>
      <w:numFmt w:val="bullet"/>
      <w:lvlText w:val="o"/>
      <w:lvlJc w:val="left"/>
      <w:pPr>
        <w:ind w:left="3600" w:hanging="360"/>
      </w:pPr>
      <w:rPr>
        <w:rFonts w:ascii="Courier New" w:hAnsi="Courier New" w:hint="default"/>
      </w:rPr>
    </w:lvl>
    <w:lvl w:ilvl="5" w:tplc="FB7C7D0C">
      <w:start w:val="1"/>
      <w:numFmt w:val="bullet"/>
      <w:lvlText w:val=""/>
      <w:lvlJc w:val="left"/>
      <w:pPr>
        <w:ind w:left="4320" w:hanging="360"/>
      </w:pPr>
      <w:rPr>
        <w:rFonts w:ascii="Wingdings" w:hAnsi="Wingdings" w:hint="default"/>
      </w:rPr>
    </w:lvl>
    <w:lvl w:ilvl="6" w:tplc="B92681B4">
      <w:start w:val="1"/>
      <w:numFmt w:val="bullet"/>
      <w:lvlText w:val=""/>
      <w:lvlJc w:val="left"/>
      <w:pPr>
        <w:ind w:left="5040" w:hanging="360"/>
      </w:pPr>
      <w:rPr>
        <w:rFonts w:ascii="Symbol" w:hAnsi="Symbol" w:hint="default"/>
      </w:rPr>
    </w:lvl>
    <w:lvl w:ilvl="7" w:tplc="5CE2B122">
      <w:start w:val="1"/>
      <w:numFmt w:val="bullet"/>
      <w:lvlText w:val="o"/>
      <w:lvlJc w:val="left"/>
      <w:pPr>
        <w:ind w:left="5760" w:hanging="360"/>
      </w:pPr>
      <w:rPr>
        <w:rFonts w:ascii="Courier New" w:hAnsi="Courier New" w:hint="default"/>
      </w:rPr>
    </w:lvl>
    <w:lvl w:ilvl="8" w:tplc="D68A287C">
      <w:start w:val="1"/>
      <w:numFmt w:val="bullet"/>
      <w:lvlText w:val=""/>
      <w:lvlJc w:val="left"/>
      <w:pPr>
        <w:ind w:left="6480" w:hanging="360"/>
      </w:pPr>
      <w:rPr>
        <w:rFonts w:ascii="Wingdings" w:hAnsi="Wingdings" w:hint="default"/>
      </w:rPr>
    </w:lvl>
  </w:abstractNum>
  <w:abstractNum w:abstractNumId="25" w15:restartNumberingAfterBreak="0">
    <w:nsid w:val="30643925"/>
    <w:multiLevelType w:val="multilevel"/>
    <w:tmpl w:val="25FC93DA"/>
    <w:lvl w:ilvl="0">
      <w:start w:val="3"/>
      <w:numFmt w:val="decimal"/>
      <w:lvlText w:val="%1"/>
      <w:lvlJc w:val="left"/>
      <w:pPr>
        <w:ind w:left="720" w:hanging="720"/>
      </w:pPr>
      <w:rPr>
        <w:rFonts w:hint="default"/>
        <w:b w:val="0"/>
        <w:sz w:val="24"/>
        <w:szCs w:val="24"/>
      </w:rPr>
    </w:lvl>
    <w:lvl w:ilvl="1">
      <w:start w:val="1"/>
      <w:numFmt w:val="decimal"/>
      <w:lvlText w:val="%1.%2"/>
      <w:lvlJc w:val="left"/>
      <w:pPr>
        <w:ind w:left="720" w:hanging="720"/>
      </w:pPr>
      <w:rPr>
        <w:rFonts w:hint="default"/>
        <w:b w:val="0"/>
        <w:bCs w:val="0"/>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243"/>
        </w:tabs>
        <w:ind w:left="3243" w:hanging="720"/>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26" w15:restartNumberingAfterBreak="0">
    <w:nsid w:val="34DA59B9"/>
    <w:multiLevelType w:val="hybridMultilevel"/>
    <w:tmpl w:val="BF90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0421E4"/>
    <w:multiLevelType w:val="multilevel"/>
    <w:tmpl w:val="EEBC25EA"/>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tabs>
          <w:tab w:val="num" w:pos="2523"/>
        </w:tabs>
        <w:ind w:left="2523" w:hanging="720"/>
      </w:pPr>
      <w:rPr>
        <w:rFonts w:hint="default"/>
      </w:rPr>
    </w:lvl>
    <w:lvl w:ilvl="4">
      <w:start w:val="1"/>
      <w:numFmt w:val="lowerRoman"/>
      <w:lvlText w:val="(%5)"/>
      <w:lvlJc w:val="left"/>
      <w:pPr>
        <w:tabs>
          <w:tab w:val="num" w:pos="3243"/>
        </w:tabs>
        <w:ind w:left="3243" w:hanging="720"/>
      </w:pPr>
      <w:rPr>
        <w:rFonts w:hint="default"/>
      </w:rPr>
    </w:lvl>
    <w:lvl w:ilvl="5">
      <w:start w:val="1"/>
      <w:numFmt w:val="upperLetter"/>
      <w:lvlText w:val="(%6)"/>
      <w:lvlJc w:val="left"/>
      <w:pPr>
        <w:tabs>
          <w:tab w:val="num" w:pos="3963"/>
        </w:tabs>
        <w:ind w:left="3963" w:hanging="720"/>
      </w:pPr>
      <w:rPr>
        <w:rFonts w:hint="default"/>
      </w:rPr>
    </w:lvl>
    <w:lvl w:ilvl="6">
      <w:start w:val="1"/>
      <w:numFmt w:val="decimal"/>
      <w:lvlText w:val="(%7)"/>
      <w:lvlJc w:val="left"/>
      <w:pPr>
        <w:tabs>
          <w:tab w:val="num" w:pos="4683"/>
        </w:tabs>
        <w:ind w:left="468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28" w15:restartNumberingAfterBreak="0">
    <w:nsid w:val="38EF6306"/>
    <w:multiLevelType w:val="multilevel"/>
    <w:tmpl w:val="5C129AB6"/>
    <w:lvl w:ilvl="0">
      <w:start w:val="1"/>
      <w:numFmt w:val="lowerLetter"/>
      <w:pStyle w:val="DefinitionList"/>
      <w:lvlText w:val="(%1)"/>
      <w:lvlJc w:val="left"/>
      <w:pPr>
        <w:ind w:left="720" w:hanging="720"/>
      </w:pPr>
      <w:rPr>
        <w:rFonts w:hint="default"/>
      </w:rPr>
    </w:lvl>
    <w:lvl w:ilvl="1">
      <w:start w:val="1"/>
      <w:numFmt w:val="lowerRoman"/>
      <w:pStyle w:val="DefinitionListLevel1"/>
      <w:lvlText w:val="(%2)"/>
      <w:lvlJc w:val="left"/>
      <w:pPr>
        <w:ind w:left="1440" w:hanging="720"/>
      </w:pPr>
      <w:rPr>
        <w:rFonts w:hint="default"/>
      </w:rPr>
    </w:lvl>
    <w:lvl w:ilvl="2">
      <w:start w:val="1"/>
      <w:numFmt w:val="none"/>
      <w:suff w:val="nothing"/>
      <w:lvlText w:val=""/>
      <w:lvlJc w:val="left"/>
      <w:pPr>
        <w:ind w:left="1440" w:hanging="720"/>
      </w:pPr>
      <w:rPr>
        <w:rFonts w:hint="default"/>
      </w:rPr>
    </w:lvl>
    <w:lvl w:ilvl="3">
      <w:start w:val="1"/>
      <w:numFmt w:val="none"/>
      <w:suff w:val="nothing"/>
      <w:lvlText w:val=""/>
      <w:lvlJc w:val="left"/>
      <w:pPr>
        <w:ind w:left="1440" w:hanging="720"/>
      </w:pPr>
      <w:rPr>
        <w:rFonts w:hint="default"/>
      </w:rPr>
    </w:lvl>
    <w:lvl w:ilvl="4">
      <w:start w:val="1"/>
      <w:numFmt w:val="none"/>
      <w:suff w:val="nothing"/>
      <w:lvlText w:val=""/>
      <w:lvlJc w:val="left"/>
      <w:pPr>
        <w:ind w:left="1440" w:hanging="720"/>
      </w:pPr>
      <w:rPr>
        <w:rFonts w:hint="default"/>
      </w:rPr>
    </w:lvl>
    <w:lvl w:ilvl="5">
      <w:start w:val="1"/>
      <w:numFmt w:val="none"/>
      <w:suff w:val="nothing"/>
      <w:lvlText w:val=""/>
      <w:lvlJc w:val="left"/>
      <w:pPr>
        <w:ind w:left="1440" w:hanging="720"/>
      </w:pPr>
      <w:rPr>
        <w:rFonts w:hint="default"/>
      </w:rPr>
    </w:lvl>
    <w:lvl w:ilvl="6">
      <w:start w:val="1"/>
      <w:numFmt w:val="none"/>
      <w:suff w:val="nothing"/>
      <w:lvlText w:val=""/>
      <w:lvlJc w:val="left"/>
      <w:pPr>
        <w:ind w:left="1440" w:hanging="720"/>
      </w:pPr>
      <w:rPr>
        <w:rFonts w:hint="default"/>
      </w:rPr>
    </w:lvl>
    <w:lvl w:ilvl="7">
      <w:start w:val="1"/>
      <w:numFmt w:val="none"/>
      <w:suff w:val="nothing"/>
      <w:lvlText w:val=""/>
      <w:lvlJc w:val="left"/>
      <w:pPr>
        <w:ind w:left="1440" w:hanging="720"/>
      </w:pPr>
      <w:rPr>
        <w:rFonts w:hint="default"/>
      </w:rPr>
    </w:lvl>
    <w:lvl w:ilvl="8">
      <w:start w:val="1"/>
      <w:numFmt w:val="none"/>
      <w:suff w:val="nothing"/>
      <w:lvlText w:val=""/>
      <w:lvlJc w:val="left"/>
      <w:pPr>
        <w:ind w:left="1440" w:hanging="720"/>
      </w:pPr>
      <w:rPr>
        <w:rFonts w:hint="default"/>
      </w:rPr>
    </w:lvl>
  </w:abstractNum>
  <w:abstractNum w:abstractNumId="29" w15:restartNumberingAfterBreak="0">
    <w:nsid w:val="3B195AFC"/>
    <w:multiLevelType w:val="hybridMultilevel"/>
    <w:tmpl w:val="698EEA60"/>
    <w:lvl w:ilvl="0" w:tplc="C82A73BE">
      <w:start w:val="1"/>
      <w:numFmt w:val="lowerLetter"/>
      <w:lvlText w:val="(%1)"/>
      <w:lvlJc w:val="left"/>
      <w:pPr>
        <w:tabs>
          <w:tab w:val="num" w:pos="2523"/>
        </w:tabs>
        <w:ind w:left="720" w:firstLine="10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3DAD58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1267D69"/>
    <w:multiLevelType w:val="multilevel"/>
    <w:tmpl w:val="B6C899E6"/>
    <w:lvl w:ilvl="0">
      <w:start w:val="4"/>
      <w:numFmt w:val="decimal"/>
      <w:lvlText w:val="%1"/>
      <w:lvlJc w:val="left"/>
      <w:pPr>
        <w:ind w:left="720" w:hanging="720"/>
      </w:pPr>
      <w:rPr>
        <w:rFonts w:hint="default"/>
        <w:b w:val="0"/>
        <w:sz w:val="20"/>
        <w:szCs w:val="20"/>
      </w:rPr>
    </w:lvl>
    <w:lvl w:ilvl="1">
      <w:start w:val="1"/>
      <w:numFmt w:val="decimal"/>
      <w:lvlText w:val="%1.%2"/>
      <w:lvlJc w:val="left"/>
      <w:pPr>
        <w:ind w:left="720" w:hanging="720"/>
      </w:pPr>
      <w:rPr>
        <w:rFonts w:hint="default"/>
        <w:b w:val="0"/>
        <w:bCs w:val="0"/>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243"/>
        </w:tabs>
        <w:ind w:left="3243" w:hanging="720"/>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32" w15:restartNumberingAfterBreak="0">
    <w:nsid w:val="41B154CF"/>
    <w:multiLevelType w:val="multilevel"/>
    <w:tmpl w:val="72B2A5C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33" w15:restartNumberingAfterBreak="0">
    <w:nsid w:val="44F655EF"/>
    <w:multiLevelType w:val="multilevel"/>
    <w:tmpl w:val="172C30E8"/>
    <w:styleLink w:val="TLTScheduletext"/>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ind w:left="2523" w:hanging="72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4" w15:restartNumberingAfterBreak="0">
    <w:nsid w:val="45726610"/>
    <w:multiLevelType w:val="hybridMultilevel"/>
    <w:tmpl w:val="404AE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7665FD0"/>
    <w:multiLevelType w:val="multilevel"/>
    <w:tmpl w:val="5C129AB6"/>
    <w:styleLink w:val="Definitions"/>
    <w:lvl w:ilvl="0">
      <w:start w:val="1"/>
      <w:numFmt w:val="lowerLetter"/>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suff w:val="nothing"/>
      <w:lvlText w:val=""/>
      <w:lvlJc w:val="left"/>
      <w:pPr>
        <w:ind w:left="1440" w:hanging="720"/>
      </w:pPr>
      <w:rPr>
        <w:rFonts w:hint="default"/>
      </w:rPr>
    </w:lvl>
    <w:lvl w:ilvl="3">
      <w:start w:val="1"/>
      <w:numFmt w:val="none"/>
      <w:suff w:val="nothing"/>
      <w:lvlText w:val=""/>
      <w:lvlJc w:val="left"/>
      <w:pPr>
        <w:ind w:left="1440" w:hanging="720"/>
      </w:pPr>
      <w:rPr>
        <w:rFonts w:hint="default"/>
      </w:rPr>
    </w:lvl>
    <w:lvl w:ilvl="4">
      <w:start w:val="1"/>
      <w:numFmt w:val="none"/>
      <w:suff w:val="nothing"/>
      <w:lvlText w:val=""/>
      <w:lvlJc w:val="left"/>
      <w:pPr>
        <w:ind w:left="1440" w:hanging="720"/>
      </w:pPr>
      <w:rPr>
        <w:rFonts w:hint="default"/>
      </w:rPr>
    </w:lvl>
    <w:lvl w:ilvl="5">
      <w:start w:val="1"/>
      <w:numFmt w:val="none"/>
      <w:suff w:val="nothing"/>
      <w:lvlText w:val=""/>
      <w:lvlJc w:val="left"/>
      <w:pPr>
        <w:ind w:left="1440" w:hanging="720"/>
      </w:pPr>
      <w:rPr>
        <w:rFonts w:hint="default"/>
      </w:rPr>
    </w:lvl>
    <w:lvl w:ilvl="6">
      <w:start w:val="1"/>
      <w:numFmt w:val="none"/>
      <w:suff w:val="nothing"/>
      <w:lvlText w:val=""/>
      <w:lvlJc w:val="left"/>
      <w:pPr>
        <w:ind w:left="1440" w:hanging="720"/>
      </w:pPr>
      <w:rPr>
        <w:rFonts w:hint="default"/>
      </w:rPr>
    </w:lvl>
    <w:lvl w:ilvl="7">
      <w:start w:val="1"/>
      <w:numFmt w:val="none"/>
      <w:suff w:val="nothing"/>
      <w:lvlText w:val=""/>
      <w:lvlJc w:val="left"/>
      <w:pPr>
        <w:ind w:left="1440" w:hanging="720"/>
      </w:pPr>
      <w:rPr>
        <w:rFonts w:hint="default"/>
      </w:rPr>
    </w:lvl>
    <w:lvl w:ilvl="8">
      <w:start w:val="1"/>
      <w:numFmt w:val="none"/>
      <w:suff w:val="nothing"/>
      <w:lvlText w:val=""/>
      <w:lvlJc w:val="left"/>
      <w:pPr>
        <w:ind w:left="1440" w:hanging="720"/>
      </w:pPr>
      <w:rPr>
        <w:rFonts w:hint="default"/>
      </w:rPr>
    </w:lvl>
  </w:abstractNum>
  <w:abstractNum w:abstractNumId="36" w15:restartNumberingAfterBreak="0">
    <w:nsid w:val="49AA35F7"/>
    <w:multiLevelType w:val="hybridMultilevel"/>
    <w:tmpl w:val="F79CD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DF104F"/>
    <w:multiLevelType w:val="multilevel"/>
    <w:tmpl w:val="00000000"/>
    <w:lvl w:ilvl="0">
      <w:start w:val="1"/>
      <w:numFmt w:val="decimal"/>
      <w:pStyle w:val="TLTLevel1"/>
      <w:lvlText w:val="%1"/>
      <w:lvlJc w:val="left"/>
      <w:pPr>
        <w:ind w:left="720" w:hanging="720"/>
      </w:pPr>
    </w:lvl>
    <w:lvl w:ilvl="1">
      <w:start w:val="1"/>
      <w:numFmt w:val="decimal"/>
      <w:pStyle w:val="TLTLevel2"/>
      <w:lvlText w:val="%1.%2"/>
      <w:lvlJc w:val="left"/>
      <w:pPr>
        <w:ind w:left="720" w:hanging="720"/>
      </w:pPr>
    </w:lvl>
    <w:lvl w:ilvl="2">
      <w:start w:val="1"/>
      <w:numFmt w:val="decimal"/>
      <w:pStyle w:val="TLTLevel3"/>
      <w:lvlText w:val="%1.%2.%3"/>
      <w:lvlJc w:val="left"/>
      <w:pPr>
        <w:ind w:left="1803" w:hanging="1083"/>
      </w:pPr>
    </w:lvl>
    <w:lvl w:ilvl="3">
      <w:start w:val="1"/>
      <w:numFmt w:val="lowerLetter"/>
      <w:pStyle w:val="TLTLevel4"/>
      <w:lvlText w:val="(%4)"/>
      <w:lvlJc w:val="left"/>
      <w:pPr>
        <w:ind w:left="1803" w:hanging="1083"/>
      </w:pPr>
    </w:lvl>
    <w:lvl w:ilvl="4">
      <w:start w:val="1"/>
      <w:numFmt w:val="lowerRoman"/>
      <w:pStyle w:val="TLTLevel5"/>
      <w:lvlText w:val="(%5)"/>
      <w:lvlJc w:val="left"/>
      <w:pPr>
        <w:ind w:left="2523"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15:restartNumberingAfterBreak="0">
    <w:nsid w:val="4D5F6C8E"/>
    <w:multiLevelType w:val="hybridMultilevel"/>
    <w:tmpl w:val="5852ACB0"/>
    <w:lvl w:ilvl="0" w:tplc="89C85504">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D8D7224"/>
    <w:multiLevelType w:val="multilevel"/>
    <w:tmpl w:val="3128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236D3C"/>
    <w:multiLevelType w:val="multilevel"/>
    <w:tmpl w:val="8F68FBE6"/>
    <w:styleLink w:val="NumbListDefinitions"/>
    <w:lvl w:ilvl="0">
      <w:start w:val="1"/>
      <w:numFmt w:val="none"/>
      <w:suff w:val="nothing"/>
      <w:lvlText w:val=""/>
      <w:lvlJc w:val="left"/>
      <w:pPr>
        <w:ind w:left="0" w:firstLine="0"/>
      </w:pPr>
      <w:rPr>
        <w:rFonts w:hint="default"/>
      </w:rPr>
    </w:lvl>
    <w:lvl w:ilvl="1">
      <w:start w:val="1"/>
      <w:numFmt w:val="lowerLetter"/>
      <w:lvlText w:val="(%2)"/>
      <w:lvlJc w:val="left"/>
      <w:pPr>
        <w:tabs>
          <w:tab w:val="num" w:pos="454"/>
        </w:tabs>
        <w:ind w:left="454" w:hanging="454"/>
      </w:pPr>
      <w:rPr>
        <w:rFonts w:hint="default"/>
      </w:rPr>
    </w:lvl>
    <w:lvl w:ilvl="2">
      <w:start w:val="1"/>
      <w:numFmt w:val="lowerRoman"/>
      <w:lvlText w:val="(%3)"/>
      <w:lvlJc w:val="left"/>
      <w:pPr>
        <w:tabs>
          <w:tab w:val="num" w:pos="907"/>
        </w:tabs>
        <w:ind w:left="907" w:hanging="453"/>
      </w:pPr>
      <w:rPr>
        <w:rFonts w:hint="default"/>
      </w:rPr>
    </w:lvl>
    <w:lvl w:ilvl="3">
      <w:start w:val="1"/>
      <w:numFmt w:val="upperLetter"/>
      <w:lvlText w:val="(%4)"/>
      <w:lvlJc w:val="left"/>
      <w:pPr>
        <w:tabs>
          <w:tab w:val="num" w:pos="1361"/>
        </w:tabs>
        <w:ind w:left="1361" w:hanging="454"/>
      </w:pPr>
      <w:rPr>
        <w:rFonts w:hint="default"/>
      </w:rPr>
    </w:lvl>
    <w:lvl w:ilvl="4">
      <w:start w:val="1"/>
      <w:numFmt w:val="decimal"/>
      <w:lvlText w:val="(%5)"/>
      <w:lvlJc w:val="left"/>
      <w:pPr>
        <w:tabs>
          <w:tab w:val="num" w:pos="1814"/>
        </w:tabs>
        <w:ind w:left="1814" w:hanging="453"/>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41" w15:restartNumberingAfterBreak="0">
    <w:nsid w:val="51F72A32"/>
    <w:multiLevelType w:val="hybridMultilevel"/>
    <w:tmpl w:val="F18E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E142C1"/>
    <w:multiLevelType w:val="multilevel"/>
    <w:tmpl w:val="8D020210"/>
    <w:lvl w:ilvl="0">
      <w:start w:val="1"/>
      <w:numFmt w:val="decimal"/>
      <w:pStyle w:val="TLTAppendixText1"/>
      <w:lvlText w:val="%1"/>
      <w:lvlJc w:val="left"/>
      <w:pPr>
        <w:ind w:left="720" w:hanging="720"/>
      </w:pPr>
    </w:lvl>
    <w:lvl w:ilvl="1">
      <w:start w:val="1"/>
      <w:numFmt w:val="decimal"/>
      <w:pStyle w:val="TLTAppendixText2"/>
      <w:lvlText w:val="%1.%2"/>
      <w:lvlJc w:val="left"/>
      <w:pPr>
        <w:ind w:left="720" w:hanging="720"/>
      </w:pPr>
    </w:lvl>
    <w:lvl w:ilvl="2">
      <w:start w:val="1"/>
      <w:numFmt w:val="decimal"/>
      <w:pStyle w:val="TLTAppendixText3"/>
      <w:lvlText w:val="%1.%2.%3"/>
      <w:lvlJc w:val="left"/>
      <w:pPr>
        <w:ind w:left="1803" w:hanging="1083"/>
      </w:pPr>
    </w:lvl>
    <w:lvl w:ilvl="3">
      <w:start w:val="1"/>
      <w:numFmt w:val="lowerLetter"/>
      <w:pStyle w:val="TLTAppendixText4"/>
      <w:lvlText w:val="(%4)"/>
      <w:lvlJc w:val="left"/>
      <w:pPr>
        <w:ind w:left="1803" w:hanging="1083"/>
      </w:pPr>
    </w:lvl>
    <w:lvl w:ilvl="4">
      <w:start w:val="1"/>
      <w:numFmt w:val="lowerRoman"/>
      <w:pStyle w:val="TLTAppendixText5"/>
      <w:lvlText w:val="(%5)"/>
      <w:lvlJc w:val="left"/>
      <w:pPr>
        <w:ind w:left="2523"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3" w15:restartNumberingAfterBreak="0">
    <w:nsid w:val="54CA0452"/>
    <w:multiLevelType w:val="multilevel"/>
    <w:tmpl w:val="0518A648"/>
    <w:lvl w:ilvl="0">
      <w:start w:val="1"/>
      <w:numFmt w:val="decimal"/>
      <w:pStyle w:val="TLTScheduleText1"/>
      <w:lvlText w:val="%1"/>
      <w:lvlJc w:val="left"/>
      <w:pPr>
        <w:ind w:left="720" w:hanging="720"/>
      </w:pPr>
    </w:lvl>
    <w:lvl w:ilvl="1">
      <w:start w:val="1"/>
      <w:numFmt w:val="decimal"/>
      <w:pStyle w:val="TLTScheduleText2"/>
      <w:lvlText w:val="%1.%2"/>
      <w:lvlJc w:val="left"/>
      <w:pPr>
        <w:ind w:left="720" w:hanging="720"/>
      </w:pPr>
    </w:lvl>
    <w:lvl w:ilvl="2">
      <w:start w:val="1"/>
      <w:numFmt w:val="decimal"/>
      <w:pStyle w:val="TLTScheduleText3"/>
      <w:lvlText w:val="%1.%2.%3"/>
      <w:lvlJc w:val="left"/>
      <w:pPr>
        <w:ind w:left="1803" w:hanging="1083"/>
      </w:pPr>
    </w:lvl>
    <w:lvl w:ilvl="3">
      <w:start w:val="1"/>
      <w:numFmt w:val="lowerLetter"/>
      <w:pStyle w:val="TLTScheduleText4"/>
      <w:lvlText w:val="(%4)"/>
      <w:lvlJc w:val="left"/>
      <w:pPr>
        <w:ind w:left="1803" w:hanging="1083"/>
      </w:pPr>
    </w:lvl>
    <w:lvl w:ilvl="4">
      <w:start w:val="1"/>
      <w:numFmt w:val="lowerRoman"/>
      <w:pStyle w:val="TLTScheduleText5"/>
      <w:lvlText w:val="(%5)"/>
      <w:lvlJc w:val="left"/>
      <w:pPr>
        <w:ind w:left="2523"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4" w15:restartNumberingAfterBreak="0">
    <w:nsid w:val="5C33C6F7"/>
    <w:multiLevelType w:val="multilevel"/>
    <w:tmpl w:val="70DC2F1A"/>
    <w:lvl w:ilvl="0">
      <w:start w:val="1"/>
      <w:numFmt w:val="decimal"/>
      <w:pStyle w:val="TOC2"/>
      <w:lvlText w:val="%1"/>
      <w:lvlJc w:val="left"/>
      <w:pPr>
        <w:ind w:left="720" w:hanging="720"/>
      </w:pPr>
      <w:rPr>
        <w:rFonts w:hint="default"/>
        <w:sz w:val="20"/>
      </w:rPr>
    </w:lvl>
    <w:lvl w:ilvl="1">
      <w:start w:val="1"/>
      <w:numFmt w:val="upperLetter"/>
      <w:pStyle w:val="TOC3"/>
      <w:lvlText w:val="%2"/>
      <w:lvlJc w:val="left"/>
      <w:pPr>
        <w:ind w:left="720" w:hanging="72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45" w15:restartNumberingAfterBreak="0">
    <w:nsid w:val="62954985"/>
    <w:multiLevelType w:val="multilevel"/>
    <w:tmpl w:val="8E3E58CC"/>
    <w:lvl w:ilvl="0">
      <w:start w:val="1"/>
      <w:numFmt w:val="decimal"/>
      <w:pStyle w:val="Numbered1"/>
      <w:lvlText w:val="%1."/>
      <w:lvlJc w:val="left"/>
      <w:pPr>
        <w:tabs>
          <w:tab w:val="num" w:pos="720"/>
        </w:tabs>
        <w:ind w:left="720" w:hanging="720"/>
      </w:pPr>
      <w:rPr>
        <w:rFonts w:hint="default"/>
        <w:color w:val="auto"/>
      </w:rPr>
    </w:lvl>
    <w:lvl w:ilvl="1">
      <w:start w:val="1"/>
      <w:numFmt w:val="decimal"/>
      <w:pStyle w:val="Numbered11"/>
      <w:lvlText w:val="%1.%2"/>
      <w:lvlJc w:val="left"/>
      <w:pPr>
        <w:tabs>
          <w:tab w:val="num" w:pos="720"/>
        </w:tabs>
        <w:ind w:left="720" w:hanging="720"/>
      </w:pPr>
      <w:rPr>
        <w:rFonts w:hint="default"/>
        <w:b w:val="0"/>
        <w:bCs w:val="0"/>
      </w:rPr>
    </w:lvl>
    <w:lvl w:ilvl="2">
      <w:start w:val="1"/>
      <w:numFmt w:val="decimal"/>
      <w:pStyle w:val="Numbered111"/>
      <w:lvlText w:val="%1.%2.%3"/>
      <w:lvlJc w:val="left"/>
      <w:pPr>
        <w:tabs>
          <w:tab w:val="num" w:pos="1800"/>
        </w:tabs>
        <w:ind w:left="1800" w:hanging="1080"/>
      </w:pPr>
      <w:rPr>
        <w:rFonts w:hint="default"/>
      </w:rPr>
    </w:lvl>
    <w:lvl w:ilvl="3">
      <w:start w:val="1"/>
      <w:numFmt w:val="lowerLetter"/>
      <w:pStyle w:val="Numbered111a"/>
      <w:lvlText w:val="(%4)"/>
      <w:lvlJc w:val="left"/>
      <w:pPr>
        <w:tabs>
          <w:tab w:val="num" w:pos="2520"/>
        </w:tabs>
        <w:ind w:left="2520" w:hanging="720"/>
      </w:pPr>
      <w:rPr>
        <w:rFonts w:hint="default"/>
      </w:rPr>
    </w:lvl>
    <w:lvl w:ilvl="4">
      <w:start w:val="1"/>
      <w:numFmt w:val="lowerRoman"/>
      <w:pStyle w:val="Numbered111ai"/>
      <w:lvlText w:val="(%5)"/>
      <w:lvlJc w:val="left"/>
      <w:pPr>
        <w:tabs>
          <w:tab w:val="num" w:pos="3240"/>
        </w:tabs>
        <w:ind w:left="3240" w:hanging="720"/>
      </w:pPr>
      <w:rPr>
        <w:rFonts w:hint="default"/>
        <w:b w:val="0"/>
        <w:bCs w:val="0"/>
        <w:i w:val="0"/>
        <w:iCs w:val="0"/>
        <w:color w:val="000000"/>
      </w:rPr>
    </w:lvl>
    <w:lvl w:ilvl="5">
      <w:start w:val="1"/>
      <w:numFmt w:val="decimal"/>
      <w:lvlText w:val=""/>
      <w:lvlJc w:val="left"/>
      <w:pPr>
        <w:ind w:left="5040" w:hanging="720"/>
      </w:pPr>
      <w:rPr>
        <w:rFonts w:hint="default"/>
      </w:rPr>
    </w:lvl>
    <w:lvl w:ilvl="6">
      <w:start w:val="1"/>
      <w:numFmt w:val="decimal"/>
      <w:lvlText w:val=""/>
      <w:lvlJc w:val="left"/>
      <w:pPr>
        <w:ind w:left="5760" w:hanging="720"/>
      </w:pPr>
      <w:rPr>
        <w:rFonts w:hint="default"/>
      </w:rPr>
    </w:lvl>
    <w:lvl w:ilvl="7">
      <w:start w:val="1"/>
      <w:numFmt w:val="decimal"/>
      <w:lvlText w:val=""/>
      <w:lvlJc w:val="left"/>
      <w:pPr>
        <w:ind w:left="6480" w:hanging="720"/>
      </w:pPr>
      <w:rPr>
        <w:rFonts w:hint="default"/>
      </w:rPr>
    </w:lvl>
    <w:lvl w:ilvl="8">
      <w:start w:val="1"/>
      <w:numFmt w:val="decimal"/>
      <w:lvlText w:val=""/>
      <w:lvlJc w:val="left"/>
      <w:pPr>
        <w:ind w:left="7200" w:hanging="720"/>
      </w:pPr>
      <w:rPr>
        <w:rFonts w:hint="default"/>
      </w:rPr>
    </w:lvl>
  </w:abstractNum>
  <w:abstractNum w:abstractNumId="46" w15:restartNumberingAfterBreak="0">
    <w:nsid w:val="65B1131F"/>
    <w:multiLevelType w:val="multilevel"/>
    <w:tmpl w:val="D690DF0A"/>
    <w:styleLink w:val="NumbListLegal"/>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588"/>
        </w:tabs>
        <w:ind w:left="1588" w:hanging="908"/>
      </w:pPr>
      <w:rPr>
        <w:rFonts w:hint="default"/>
      </w:rPr>
    </w:lvl>
    <w:lvl w:ilvl="3">
      <w:start w:val="1"/>
      <w:numFmt w:val="lowerLetter"/>
      <w:lvlText w:val="(%4)"/>
      <w:lvlJc w:val="left"/>
      <w:pPr>
        <w:tabs>
          <w:tab w:val="num" w:pos="2041"/>
        </w:tabs>
        <w:ind w:left="2041" w:hanging="453"/>
      </w:pPr>
      <w:rPr>
        <w:rFonts w:hint="default"/>
      </w:rPr>
    </w:lvl>
    <w:lvl w:ilvl="4">
      <w:start w:val="1"/>
      <w:numFmt w:val="lowerRoman"/>
      <w:lvlText w:val="(%5)"/>
      <w:lvlJc w:val="left"/>
      <w:pPr>
        <w:tabs>
          <w:tab w:val="num" w:pos="2495"/>
        </w:tabs>
        <w:ind w:left="2495" w:hanging="454"/>
      </w:pPr>
      <w:rPr>
        <w:rFonts w:hint="default"/>
      </w:rPr>
    </w:lvl>
    <w:lvl w:ilvl="5">
      <w:start w:val="1"/>
      <w:numFmt w:val="upperLetter"/>
      <w:lvlText w:val="(%6)"/>
      <w:lvlJc w:val="left"/>
      <w:pPr>
        <w:tabs>
          <w:tab w:val="num" w:pos="2948"/>
        </w:tabs>
        <w:ind w:left="2948" w:hanging="453"/>
      </w:pPr>
      <w:rPr>
        <w:rFonts w:hint="default"/>
      </w:rPr>
    </w:lvl>
    <w:lvl w:ilvl="6">
      <w:start w:val="1"/>
      <w:numFmt w:val="none"/>
      <w:suff w:val="nothing"/>
      <w:lvlText w:val=""/>
      <w:lvlJc w:val="left"/>
      <w:pPr>
        <w:ind w:left="2948" w:firstLine="0"/>
      </w:pPr>
      <w:rPr>
        <w:rFonts w:hint="default"/>
      </w:rPr>
    </w:lvl>
    <w:lvl w:ilvl="7">
      <w:start w:val="1"/>
      <w:numFmt w:val="none"/>
      <w:suff w:val="nothing"/>
      <w:lvlText w:val=""/>
      <w:lvlJc w:val="left"/>
      <w:pPr>
        <w:ind w:left="2948" w:firstLine="0"/>
      </w:pPr>
      <w:rPr>
        <w:rFonts w:hint="default"/>
      </w:rPr>
    </w:lvl>
    <w:lvl w:ilvl="8">
      <w:start w:val="1"/>
      <w:numFmt w:val="none"/>
      <w:suff w:val="nothing"/>
      <w:lvlText w:val=""/>
      <w:lvlJc w:val="left"/>
      <w:pPr>
        <w:ind w:left="2948" w:firstLine="0"/>
      </w:pPr>
      <w:rPr>
        <w:rFonts w:hint="default"/>
      </w:rPr>
    </w:lvl>
  </w:abstractNum>
  <w:abstractNum w:abstractNumId="47" w15:restartNumberingAfterBreak="0">
    <w:nsid w:val="712D221C"/>
    <w:multiLevelType w:val="multilevel"/>
    <w:tmpl w:val="AE72E618"/>
    <w:lvl w:ilvl="0">
      <w:start w:val="1"/>
      <w:numFmt w:val="upperLetter"/>
      <w:pStyle w:val="TLTAppendixHeading"/>
      <w:suff w:val="nothing"/>
      <w:lvlText w:val="Appendix %1"/>
      <w:lvlJc w:val="left"/>
      <w:pPr>
        <w:jc w:val="center"/>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8" w15:restartNumberingAfterBreak="0">
    <w:nsid w:val="71A3A6AA"/>
    <w:multiLevelType w:val="multilevel"/>
    <w:tmpl w:val="F1E21E1E"/>
    <w:lvl w:ilvl="0">
      <w:start w:val="1"/>
      <w:numFmt w:val="decimal"/>
      <w:pStyle w:val="TLTSchedulePartHeading"/>
      <w:suff w:val="nothing"/>
      <w:lvlText w:val="Part %1"/>
      <w:lvlJc w:val="left"/>
      <w:pPr>
        <w:ind w:left="0" w:firstLine="0"/>
      </w:p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49" w15:restartNumberingAfterBreak="0">
    <w:nsid w:val="73957BA9"/>
    <w:multiLevelType w:val="multilevel"/>
    <w:tmpl w:val="8FC06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4B2186C"/>
    <w:multiLevelType w:val="multilevel"/>
    <w:tmpl w:val="D902AB66"/>
    <w:lvl w:ilvl="0">
      <w:start w:val="1"/>
      <w:numFmt w:val="decimal"/>
      <w:lvlText w:val="%1"/>
      <w:lvlJc w:val="left"/>
      <w:pPr>
        <w:ind w:left="720" w:hanging="720"/>
      </w:pPr>
      <w:rPr>
        <w:rFonts w:hint="default"/>
        <w:b w:val="0"/>
        <w:sz w:val="24"/>
        <w:szCs w:val="24"/>
      </w:rPr>
    </w:lvl>
    <w:lvl w:ilvl="1">
      <w:start w:val="1"/>
      <w:numFmt w:val="decimal"/>
      <w:lvlText w:val="%1.%2"/>
      <w:lvlJc w:val="left"/>
      <w:pPr>
        <w:ind w:left="720" w:hanging="720"/>
      </w:pPr>
      <w:rPr>
        <w:rFonts w:hint="default"/>
        <w:b w:val="0"/>
        <w:bCs w:val="0"/>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243"/>
        </w:tabs>
        <w:ind w:left="3243" w:hanging="720"/>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num w:numId="1" w16cid:durableId="1133140442">
    <w:abstractNumId w:val="16"/>
  </w:num>
  <w:num w:numId="2" w16cid:durableId="833453258">
    <w:abstractNumId w:val="1"/>
  </w:num>
  <w:num w:numId="3" w16cid:durableId="1180200647">
    <w:abstractNumId w:val="6"/>
  </w:num>
  <w:num w:numId="4" w16cid:durableId="907181758">
    <w:abstractNumId w:val="0"/>
  </w:num>
  <w:num w:numId="5" w16cid:durableId="1753311675">
    <w:abstractNumId w:val="37"/>
  </w:num>
  <w:num w:numId="6" w16cid:durableId="299118383">
    <w:abstractNumId w:val="7"/>
  </w:num>
  <w:num w:numId="7" w16cid:durableId="331225293">
    <w:abstractNumId w:val="17"/>
    <w:lvlOverride w:ilvl="0">
      <w:lvl w:ilvl="0">
        <w:start w:val="1"/>
        <w:numFmt w:val="decimal"/>
        <w:pStyle w:val="TLTScheduleHeading"/>
        <w:suff w:val="nothing"/>
        <w:lvlText w:val="Schedule %1"/>
        <w:lvlJc w:val="left"/>
      </w:lvl>
    </w:lvlOverride>
  </w:num>
  <w:num w:numId="8" w16cid:durableId="1804496947">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9" w16cid:durableId="1210453487">
    <w:abstractNumId w:val="47"/>
    <w:lvlOverride w:ilvl="0">
      <w:lvl w:ilvl="0">
        <w:start w:val="1"/>
        <w:numFmt w:val="upperLetter"/>
        <w:pStyle w:val="TLTAppendixHeading"/>
        <w:suff w:val="nothing"/>
        <w:lvlText w:val="Appendix %1"/>
        <w:lvlJc w:val="left"/>
        <w:pPr>
          <w:jc w:val="center"/>
        </w:pPr>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10" w16cid:durableId="1647854097">
    <w:abstractNumId w:val="42"/>
    <w:lvlOverride w:ilvl="0">
      <w:lvl w:ilvl="0">
        <w:start w:val="1"/>
        <w:numFmt w:val="decimal"/>
        <w:pStyle w:val="TLTAppendixText1"/>
        <w:lvlText w:val="%1"/>
        <w:lvlJc w:val="left"/>
        <w:pPr>
          <w:ind w:left="720" w:hanging="720"/>
        </w:pPr>
        <w:rPr>
          <w:color w:val="auto"/>
        </w:rPr>
      </w:lvl>
    </w:lvlOverride>
    <w:lvlOverride w:ilvl="1">
      <w:lvl w:ilvl="1">
        <w:start w:val="1"/>
        <w:numFmt w:val="decimal"/>
        <w:pStyle w:val="TLTAppendixText2"/>
        <w:lvlText w:val="%1.%2"/>
        <w:lvlJc w:val="left"/>
        <w:pPr>
          <w:ind w:left="720" w:hanging="720"/>
        </w:pPr>
        <w:rPr>
          <w:b w:val="0"/>
          <w:bCs w:val="0"/>
        </w:rPr>
      </w:lvl>
    </w:lvlOverride>
    <w:lvlOverride w:ilvl="2">
      <w:lvl w:ilvl="2">
        <w:start w:val="1"/>
        <w:numFmt w:val="decimal"/>
        <w:pStyle w:val="TLTAppendixText3"/>
        <w:lvlText w:val="%1.%2.%3"/>
        <w:lvlJc w:val="left"/>
        <w:pPr>
          <w:ind w:left="1803" w:hanging="1083"/>
        </w:pPr>
      </w:lvl>
    </w:lvlOverride>
    <w:lvlOverride w:ilvl="3">
      <w:lvl w:ilvl="3">
        <w:start w:val="1"/>
        <w:numFmt w:val="lowerLetter"/>
        <w:pStyle w:val="TLTAppendixText4"/>
        <w:lvlText w:val="(%4)"/>
        <w:lvlJc w:val="left"/>
        <w:pPr>
          <w:ind w:left="1803" w:hanging="1083"/>
        </w:pPr>
      </w:lvl>
    </w:lvlOverride>
    <w:lvlOverride w:ilvl="4">
      <w:lvl w:ilvl="4">
        <w:start w:val="1"/>
        <w:numFmt w:val="lowerRoman"/>
        <w:pStyle w:val="TLTAppendixText5"/>
        <w:lvlText w:val="(%5)"/>
        <w:lvlJc w:val="left"/>
        <w:pPr>
          <w:ind w:left="2523" w:hanging="720"/>
        </w:pPr>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11" w16cid:durableId="1304657289">
    <w:abstractNumId w:val="18"/>
  </w:num>
  <w:num w:numId="12" w16cid:durableId="718942537">
    <w:abstractNumId w:val="44"/>
  </w:num>
  <w:num w:numId="13" w16cid:durableId="1011757203">
    <w:abstractNumId w:val="48"/>
  </w:num>
  <w:num w:numId="14" w16cid:durableId="2024165779">
    <w:abstractNumId w:val="4"/>
  </w:num>
  <w:num w:numId="15" w16cid:durableId="146632990">
    <w:abstractNumId w:val="33"/>
  </w:num>
  <w:num w:numId="16" w16cid:durableId="14389406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642328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235908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52713175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60295721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60909434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2" w16cid:durableId="1644851889">
    <w:abstractNumId w:val="1"/>
    <w:lvlOverride w:ilvl="0">
      <w:startOverride w:val="1"/>
    </w:lvlOverride>
    <w:lvlOverride w:ilvl="1"/>
    <w:lvlOverride w:ilvl="2"/>
    <w:lvlOverride w:ilvl="3"/>
    <w:lvlOverride w:ilvl="4"/>
    <w:lvlOverride w:ilvl="5"/>
    <w:lvlOverride w:ilvl="6"/>
    <w:lvlOverride w:ilvl="7"/>
    <w:lvlOverride w:ilvl="8"/>
  </w:num>
  <w:num w:numId="23" w16cid:durableId="1233858510">
    <w:abstractNumId w:val="0"/>
    <w:lvlOverride w:ilvl="0">
      <w:startOverride w:val="1"/>
    </w:lvlOverride>
    <w:lvlOverride w:ilvl="1"/>
    <w:lvlOverride w:ilvl="2"/>
    <w:lvlOverride w:ilvl="3"/>
    <w:lvlOverride w:ilvl="4"/>
    <w:lvlOverride w:ilvl="5"/>
    <w:lvlOverride w:ilvl="6"/>
    <w:lvlOverride w:ilvl="7"/>
    <w:lvlOverride w:ilvl="8"/>
  </w:num>
  <w:num w:numId="24" w16cid:durableId="1728645438">
    <w:abstractNumId w:val="48"/>
    <w:lvlOverride w:ilvl="0">
      <w:startOverride w:val="1"/>
    </w:lvlOverride>
    <w:lvlOverride w:ilvl="1"/>
    <w:lvlOverride w:ilvl="2"/>
    <w:lvlOverride w:ilvl="3"/>
    <w:lvlOverride w:ilvl="4"/>
    <w:lvlOverride w:ilvl="5"/>
    <w:lvlOverride w:ilvl="6"/>
    <w:lvlOverride w:ilvl="7"/>
    <w:lvlOverride w:ilvl="8"/>
  </w:num>
  <w:num w:numId="25" w16cid:durableId="1166164712">
    <w:abstractNumId w:val="28"/>
  </w:num>
  <w:num w:numId="26" w16cid:durableId="878323443">
    <w:abstractNumId w:val="21"/>
  </w:num>
  <w:num w:numId="27" w16cid:durableId="1839033481">
    <w:abstractNumId w:val="10"/>
  </w:num>
  <w:num w:numId="28" w16cid:durableId="180808480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9" w16cid:durableId="16259620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9372173">
    <w:abstractNumId w:val="1"/>
    <w:lvlOverride w:ilvl="0">
      <w:startOverride w:val="1"/>
    </w:lvlOverride>
  </w:num>
  <w:num w:numId="31" w16cid:durableId="432632755">
    <w:abstractNumId w:val="0"/>
    <w:lvlOverride w:ilvl="0">
      <w:startOverride w:val="1"/>
    </w:lvlOverride>
  </w:num>
  <w:num w:numId="32" w16cid:durableId="1819687714">
    <w:abstractNumId w:val="22"/>
  </w:num>
  <w:num w:numId="33" w16cid:durableId="53342281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72525310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24691872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17249620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7" w16cid:durableId="22171989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8" w16cid:durableId="118837514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9" w16cid:durableId="1438716906">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0" w16cid:durableId="17643356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1" w16cid:durableId="570309276">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17453592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2071807846">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4" w16cid:durableId="203491968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5" w16cid:durableId="37292915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6" w16cid:durableId="60234392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125201191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8" w16cid:durableId="120475153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9" w16cid:durableId="152189842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0" w16cid:durableId="1110008570">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1" w16cid:durableId="1029180730">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2" w16cid:durableId="83711893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3" w16cid:durableId="1240602310">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4" w16cid:durableId="193339214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5" w16cid:durableId="86779299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6" w16cid:durableId="53825125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7" w16cid:durableId="194217977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8" w16cid:durableId="173546465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9" w16cid:durableId="21594185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0" w16cid:durableId="214383749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1" w16cid:durableId="140236683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2" w16cid:durableId="180801027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3" w16cid:durableId="124410008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4" w16cid:durableId="94099466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5" w16cid:durableId="74503423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6" w16cid:durableId="40168607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7" w16cid:durableId="272593006">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8" w16cid:durableId="11267016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63146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434278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90072111">
    <w:abstractNumId w:val="43"/>
    <w:lvlOverride w:ilvl="0">
      <w:startOverride w:val="1"/>
      <w:lvl w:ilvl="0">
        <w:start w:val="1"/>
        <w:numFmt w:val="decimal"/>
        <w:pStyle w:val="TLTScheduleText1"/>
        <w:lvlText w:val="%1"/>
        <w:lvlJc w:val="left"/>
        <w:pPr>
          <w:ind w:left="720" w:hanging="720"/>
        </w:pPr>
      </w:lvl>
    </w:lvlOverride>
    <w:lvlOverride w:ilvl="1">
      <w:startOverride w:val="1"/>
      <w:lvl w:ilvl="1">
        <w:start w:val="1"/>
        <w:numFmt w:val="decimal"/>
        <w:pStyle w:val="TLTScheduleText2"/>
        <w:lvlText w:val="%1.%2"/>
        <w:lvlJc w:val="left"/>
        <w:pPr>
          <w:ind w:left="720" w:hanging="720"/>
        </w:pPr>
      </w:lvl>
    </w:lvlOverride>
    <w:lvlOverride w:ilvl="2">
      <w:startOverride w:val="1"/>
      <w:lvl w:ilvl="2">
        <w:start w:val="1"/>
        <w:numFmt w:val="decimal"/>
        <w:pStyle w:val="TLTScheduleText3"/>
        <w:lvlText w:val="%1.%2.%3"/>
        <w:lvlJc w:val="left"/>
        <w:pPr>
          <w:ind w:left="1803" w:hanging="1083"/>
        </w:pPr>
      </w:lvl>
    </w:lvlOverride>
    <w:lvlOverride w:ilvl="3">
      <w:startOverride w:val="1"/>
      <w:lvl w:ilvl="3">
        <w:start w:val="1"/>
        <w:numFmt w:val="lowerLetter"/>
        <w:pStyle w:val="TLTScheduleText4"/>
        <w:lvlText w:val="(%4)"/>
        <w:lvlJc w:val="left"/>
        <w:pPr>
          <w:ind w:left="1803" w:hanging="1083"/>
        </w:pPr>
      </w:lvl>
    </w:lvlOverride>
    <w:lvlOverride w:ilvl="4">
      <w:startOverride w:val="1"/>
      <w:lvl w:ilvl="4">
        <w:start w:val="1"/>
        <w:numFmt w:val="lowerRoman"/>
        <w:pStyle w:val="TLTSchedule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2" w16cid:durableId="1539664103">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3" w16cid:durableId="2031253234">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4" w16cid:durableId="1449080867">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5" w16cid:durableId="1464085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08998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77160523">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8" w16cid:durableId="469908434">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79" w16cid:durableId="737094388">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0" w16cid:durableId="21130882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47932518">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2" w16cid:durableId="2093619144">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83" w16cid:durableId="1748185783">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84" w16cid:durableId="864366465">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85" w16cid:durableId="1494250882">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86" w16cid:durableId="129711668">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87" w16cid:durableId="595137085">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8" w16cid:durableId="467474861">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89" w16cid:durableId="1310597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36110496">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91" w16cid:durableId="951396111">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2" w16cid:durableId="12488080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99907313">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94" w16cid:durableId="504322982">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95" w16cid:durableId="1271082478">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6" w16cid:durableId="195313221">
    <w:abstractNumId w:val="3"/>
  </w:num>
  <w:num w:numId="97" w16cid:durableId="1830707281">
    <w:abstractNumId w:val="5"/>
  </w:num>
  <w:num w:numId="98" w16cid:durableId="340164341">
    <w:abstractNumId w:val="2"/>
  </w:num>
  <w:num w:numId="99" w16cid:durableId="949624760">
    <w:abstractNumId w:val="20"/>
  </w:num>
  <w:num w:numId="100" w16cid:durableId="1718898641">
    <w:abstractNumId w:val="11"/>
  </w:num>
  <w:num w:numId="101" w16cid:durableId="1967346396">
    <w:abstractNumId w:val="14"/>
  </w:num>
  <w:num w:numId="102" w16cid:durableId="62875015">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3" w16cid:durableId="1224021417">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4" w16cid:durableId="12606021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6709409">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06" w16cid:durableId="694892524">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07" w16cid:durableId="249435799">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08" w16cid:durableId="1495099449">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9" w16cid:durableId="88238442">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0" w16cid:durableId="1027022924">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11" w16cid:durableId="774058575">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2" w16cid:durableId="494880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39159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887759630">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5" w16cid:durableId="857232045">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6" w16cid:durableId="782574374">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7" w16cid:durableId="1462379949">
    <w:abstractNumId w:val="1"/>
    <w:lvlOverride w:ilvl="0">
      <w:startOverride w:val="1"/>
    </w:lvlOverride>
  </w:num>
  <w:num w:numId="118" w16cid:durableId="1024212890">
    <w:abstractNumId w:val="0"/>
    <w:lvlOverride w:ilvl="0">
      <w:startOverride w:val="1"/>
    </w:lvlOverride>
  </w:num>
  <w:num w:numId="119" w16cid:durableId="1961565342">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0" w16cid:durableId="14271198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4919459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419401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94680925">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24" w16cid:durableId="1072971470">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25" w16cid:durableId="140774990">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26" w16cid:durableId="1521972574">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27" w16cid:durableId="1939172847">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28" w16cid:durableId="7948323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88108311">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30" w16cid:durableId="154694029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18533485">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32" w16cid:durableId="96172123">
    <w:abstractNumId w:val="35"/>
  </w:num>
  <w:num w:numId="133" w16cid:durableId="968164396">
    <w:abstractNumId w:val="19"/>
  </w:num>
  <w:num w:numId="134" w16cid:durableId="2100174757">
    <w:abstractNumId w:val="46"/>
  </w:num>
  <w:num w:numId="135" w16cid:durableId="520709854">
    <w:abstractNumId w:val="8"/>
  </w:num>
  <w:num w:numId="136" w16cid:durableId="664864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581180212">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8" w16cid:durableId="15475715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23336937">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0" w16cid:durableId="877276292">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1" w16cid:durableId="196333738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25187940">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3" w16cid:durableId="3450578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812479987">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5" w16cid:durableId="1624187114">
    <w:abstractNumId w:val="16"/>
    <w:lvlOverride w:ilvl="0">
      <w:startOverride w:val="1"/>
    </w:lvlOverride>
  </w:num>
  <w:num w:numId="146" w16cid:durableId="241641367">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47" w16cid:durableId="754787442">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48" w16cid:durableId="1393315106">
    <w:abstractNumId w:val="32"/>
  </w:num>
  <w:num w:numId="149" w16cid:durableId="760492997">
    <w:abstractNumId w:val="47"/>
    <w:lvlOverride w:ilvl="0">
      <w:startOverride w:val="1"/>
      <w:lvl w:ilvl="0">
        <w:start w:val="1"/>
        <w:numFmt w:val="upperLetter"/>
        <w:pStyle w:val="TLTAppendixHeading"/>
        <w:suff w:val="nothing"/>
        <w:lvlText w:val="Appendix %1"/>
        <w:lvlJc w:val="left"/>
        <w:pPr>
          <w:jc w:val="center"/>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0" w16cid:durableId="1285845485">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51" w16cid:durableId="1965578871">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52" w16cid:durableId="1654094331">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53" w16cid:durableId="8188864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10389878">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55" w16cid:durableId="1795752812">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56" w16cid:durableId="1728143184">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57" w16cid:durableId="1115447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201288238">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59" w16cid:durableId="17514662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90311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6305456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967008015">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63" w16cid:durableId="1122042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556158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444879095">
    <w:abstractNumId w:val="42"/>
    <w:lvlOverride w:ilvl="0">
      <w:startOverride w:val="1"/>
      <w:lvl w:ilvl="0">
        <w:start w:val="1"/>
        <w:numFmt w:val="decimal"/>
        <w:pStyle w:val="TLTAppendixText1"/>
        <w:lvlText w:val="%1"/>
        <w:lvlJc w:val="left"/>
        <w:pPr>
          <w:ind w:left="720" w:hanging="720"/>
        </w:pPr>
        <w:rPr>
          <w:color w:val="auto"/>
        </w:r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16cid:durableId="439255019">
    <w:abstractNumId w:val="9"/>
  </w:num>
  <w:num w:numId="167" w16cid:durableId="1788501729">
    <w:abstractNumId w:val="40"/>
  </w:num>
  <w:num w:numId="168" w16cid:durableId="4654690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946185335">
    <w:abstractNumId w:val="42"/>
    <w:lvlOverride w:ilvl="0">
      <w:startOverride w:val="1"/>
      <w:lvl w:ilvl="0">
        <w:start w:val="1"/>
        <w:numFmt w:val="decimal"/>
        <w:pStyle w:val="TLTAppendixText1"/>
        <w:lvlText w:val="%1"/>
        <w:lvlJc w:val="left"/>
        <w:pPr>
          <w:ind w:left="720" w:hanging="720"/>
        </w:pPr>
      </w:lvl>
    </w:lvlOverride>
    <w:lvlOverride w:ilvl="1">
      <w:startOverride w:val="1"/>
      <w:lvl w:ilvl="1">
        <w:start w:val="1"/>
        <w:numFmt w:val="decimal"/>
        <w:pStyle w:val="TLTAppendixText2"/>
        <w:lvlText w:val="%1.%2"/>
        <w:lvlJc w:val="left"/>
        <w:pPr>
          <w:ind w:left="720" w:hanging="720"/>
        </w:pPr>
        <w:rPr>
          <w:b w:val="0"/>
          <w:bCs w:val="0"/>
        </w:rPr>
      </w:lvl>
    </w:lvlOverride>
    <w:lvlOverride w:ilvl="2">
      <w:startOverride w:val="1"/>
      <w:lvl w:ilvl="2">
        <w:start w:val="1"/>
        <w:numFmt w:val="decimal"/>
        <w:pStyle w:val="TLTAppendixText3"/>
        <w:lvlText w:val="%1.%2.%3"/>
        <w:lvlJc w:val="left"/>
        <w:pPr>
          <w:ind w:left="1803" w:hanging="1083"/>
        </w:pPr>
      </w:lvl>
    </w:lvlOverride>
    <w:lvlOverride w:ilvl="3">
      <w:startOverride w:val="1"/>
      <w:lvl w:ilvl="3">
        <w:start w:val="1"/>
        <w:numFmt w:val="lowerLetter"/>
        <w:pStyle w:val="TLTAppendixText4"/>
        <w:lvlText w:val="(%4)"/>
        <w:lvlJc w:val="left"/>
        <w:pPr>
          <w:ind w:left="1803" w:hanging="1083"/>
        </w:pPr>
      </w:lvl>
    </w:lvlOverride>
    <w:lvlOverride w:ilvl="4">
      <w:startOverride w:val="1"/>
      <w:lvl w:ilvl="4">
        <w:start w:val="1"/>
        <w:numFmt w:val="lowerRoman"/>
        <w:pStyle w:val="TLTAppendixText5"/>
        <w:lvlText w:val="(%5)"/>
        <w:lvlJc w:val="left"/>
        <w:pPr>
          <w:ind w:left="2523" w:hanging="720"/>
        </w:p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0" w16cid:durableId="17565129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738289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76815389">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73" w16cid:durableId="858812437">
    <w:abstractNumId w:val="0"/>
    <w:lvlOverride w:ilvl="0">
      <w:startOverride w:val="1"/>
    </w:lvlOverride>
  </w:num>
  <w:num w:numId="174" w16cid:durableId="298069705">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175" w16cid:durableId="21152504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580674977">
    <w:abstractNumId w:val="1"/>
    <w:lvlOverride w:ilvl="0">
      <w:startOverride w:val="1"/>
    </w:lvlOverride>
  </w:num>
  <w:num w:numId="177" w16cid:durableId="8803620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727220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3046973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732239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095514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66361951">
    <w:abstractNumId w:val="43"/>
    <w:lvlOverride w:ilvl="0">
      <w:lvl w:ilvl="0">
        <w:start w:val="1"/>
        <w:numFmt w:val="decimal"/>
        <w:pStyle w:val="TLTScheduleText1"/>
        <w:lvlText w:val="%1"/>
        <w:lvlJc w:val="left"/>
        <w:pPr>
          <w:ind w:left="720" w:hanging="720"/>
        </w:pPr>
      </w:lvl>
    </w:lvlOverride>
    <w:lvlOverride w:ilvl="1">
      <w:lvl w:ilvl="1">
        <w:start w:val="1"/>
        <w:numFmt w:val="decimal"/>
        <w:pStyle w:val="TLTScheduleText2"/>
        <w:lvlText w:val="%1.%2"/>
        <w:lvlJc w:val="left"/>
        <w:pPr>
          <w:ind w:left="720" w:hanging="720"/>
        </w:pPr>
        <w:rPr>
          <w:b w:val="0"/>
          <w:bCs/>
        </w:rPr>
      </w:lvl>
    </w:lvlOverride>
    <w:lvlOverride w:ilvl="2">
      <w:lvl w:ilvl="2">
        <w:start w:val="1"/>
        <w:numFmt w:val="decimal"/>
        <w:pStyle w:val="TLTScheduleText3"/>
        <w:lvlText w:val="%1.%2.%3"/>
        <w:lvlJc w:val="left"/>
        <w:pPr>
          <w:ind w:left="1803" w:hanging="1083"/>
        </w:pPr>
      </w:lvl>
    </w:lvlOverride>
    <w:lvlOverride w:ilvl="3">
      <w:lvl w:ilvl="3">
        <w:start w:val="1"/>
        <w:numFmt w:val="decimal"/>
        <w:pStyle w:val="TLTScheduleText4"/>
        <w:lvlText w:val="(%4)"/>
        <w:lvlJc w:val="left"/>
        <w:pPr>
          <w:ind w:left="1803" w:hanging="1083"/>
        </w:pPr>
      </w:lvl>
    </w:lvlOverride>
    <w:lvlOverride w:ilvl="4">
      <w:lvl w:ilvl="4">
        <w:start w:val="1"/>
        <w:numFmt w:val="decimal"/>
        <w:pStyle w:val="TLTScheduleText5"/>
        <w:lvlText w:val="(%5)"/>
        <w:lvlJc w:val="left"/>
        <w:pPr>
          <w:ind w:left="2523" w:hanging="72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83" w16cid:durableId="974455871">
    <w:abstractNumId w:val="43"/>
    <w:lvlOverride w:ilvl="0">
      <w:lvl w:ilvl="0">
        <w:start w:val="1"/>
        <w:numFmt w:val="decimal"/>
        <w:pStyle w:val="TLTScheduleText1"/>
        <w:lvlText w:val="%1"/>
        <w:lvlJc w:val="left"/>
        <w:pPr>
          <w:ind w:left="720" w:hanging="720"/>
        </w:pPr>
      </w:lvl>
    </w:lvlOverride>
    <w:lvlOverride w:ilvl="1">
      <w:lvl w:ilvl="1">
        <w:start w:val="1"/>
        <w:numFmt w:val="decimal"/>
        <w:pStyle w:val="TLTScheduleText2"/>
        <w:lvlText w:val="%1.%2"/>
        <w:lvlJc w:val="left"/>
        <w:pPr>
          <w:ind w:left="720" w:hanging="720"/>
        </w:pPr>
        <w:rPr>
          <w:b w:val="0"/>
          <w:bCs/>
        </w:rPr>
      </w:lvl>
    </w:lvlOverride>
    <w:lvlOverride w:ilvl="2">
      <w:lvl w:ilvl="2">
        <w:start w:val="1"/>
        <w:numFmt w:val="decimal"/>
        <w:pStyle w:val="TLTScheduleText3"/>
        <w:lvlText w:val="%1.%2.%3"/>
        <w:lvlJc w:val="left"/>
        <w:pPr>
          <w:ind w:left="1803" w:hanging="1083"/>
        </w:pPr>
      </w:lvl>
    </w:lvlOverride>
    <w:lvlOverride w:ilvl="3">
      <w:lvl w:ilvl="3">
        <w:start w:val="1"/>
        <w:numFmt w:val="decimal"/>
        <w:pStyle w:val="TLTScheduleText4"/>
        <w:lvlText w:val="(%4)"/>
        <w:lvlJc w:val="left"/>
        <w:pPr>
          <w:ind w:left="1803" w:hanging="1083"/>
        </w:pPr>
      </w:lvl>
    </w:lvlOverride>
    <w:lvlOverride w:ilvl="4">
      <w:lvl w:ilvl="4">
        <w:start w:val="1"/>
        <w:numFmt w:val="decimal"/>
        <w:pStyle w:val="TLTScheduleText5"/>
        <w:lvlText w:val="(%5)"/>
        <w:lvlJc w:val="left"/>
        <w:pPr>
          <w:ind w:left="2523" w:hanging="72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84" w16cid:durableId="1338118425">
    <w:abstractNumId w:val="37"/>
  </w:num>
  <w:num w:numId="185" w16cid:durableId="1287587031">
    <w:abstractNumId w:val="37"/>
  </w:num>
  <w:num w:numId="186" w16cid:durableId="42681958">
    <w:abstractNumId w:val="37"/>
  </w:num>
  <w:num w:numId="187" w16cid:durableId="13001635">
    <w:abstractNumId w:val="37"/>
  </w:num>
  <w:num w:numId="188" w16cid:durableId="1566604457">
    <w:abstractNumId w:val="37"/>
  </w:num>
  <w:num w:numId="189" w16cid:durableId="1472093752">
    <w:abstractNumId w:val="37"/>
  </w:num>
  <w:num w:numId="190" w16cid:durableId="958414476">
    <w:abstractNumId w:val="37"/>
  </w:num>
  <w:num w:numId="191" w16cid:durableId="113464186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92" w16cid:durableId="823936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305626301">
    <w:abstractNumId w:val="45"/>
  </w:num>
  <w:num w:numId="194" w16cid:durableId="1668289864">
    <w:abstractNumId w:val="29"/>
    <w:lvlOverride w:ilvl="0">
      <w:startOverride w:val="1"/>
    </w:lvlOverride>
  </w:num>
  <w:num w:numId="195" w16cid:durableId="4272412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8371851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027801978">
    <w:abstractNumId w:val="24"/>
  </w:num>
  <w:num w:numId="198" w16cid:durableId="717315684">
    <w:abstractNumId w:val="25"/>
  </w:num>
  <w:num w:numId="199" w16cid:durableId="809976867">
    <w:abstractNumId w:val="13"/>
  </w:num>
  <w:num w:numId="200" w16cid:durableId="24648282">
    <w:abstractNumId w:val="12"/>
  </w:num>
  <w:num w:numId="201" w16cid:durableId="102311176">
    <w:abstractNumId w:val="31"/>
  </w:num>
  <w:num w:numId="202" w16cid:durableId="278029068">
    <w:abstractNumId w:val="50"/>
  </w:num>
  <w:num w:numId="203" w16cid:durableId="1926062178">
    <w:abstractNumId w:val="23"/>
  </w:num>
  <w:num w:numId="204" w16cid:durableId="636179194">
    <w:abstractNumId w:val="42"/>
    <w:lvlOverride w:ilvl="0">
      <w:lvl w:ilvl="0">
        <w:start w:val="1"/>
        <w:numFmt w:val="decimal"/>
        <w:pStyle w:val="TLTAppendixText1"/>
        <w:lvlText w:val="%1"/>
        <w:lvlJc w:val="left"/>
        <w:pPr>
          <w:ind w:left="720" w:hanging="720"/>
        </w:pPr>
        <w:rPr>
          <w:color w:val="auto"/>
        </w:rPr>
      </w:lvl>
    </w:lvlOverride>
    <w:lvlOverride w:ilvl="1">
      <w:lvl w:ilvl="1">
        <w:start w:val="1"/>
        <w:numFmt w:val="decimal"/>
        <w:pStyle w:val="TLTAppendixText2"/>
        <w:lvlText w:val="%1.%2"/>
        <w:lvlJc w:val="left"/>
        <w:pPr>
          <w:ind w:left="720" w:hanging="720"/>
        </w:pPr>
        <w:rPr>
          <w:b w:val="0"/>
          <w:bCs w:val="0"/>
        </w:rPr>
      </w:lvl>
    </w:lvlOverride>
    <w:lvlOverride w:ilvl="2">
      <w:lvl w:ilvl="2">
        <w:start w:val="1"/>
        <w:numFmt w:val="decimal"/>
        <w:pStyle w:val="TLTAppendixText3"/>
        <w:lvlText w:val="%1.%2.%3"/>
        <w:lvlJc w:val="left"/>
        <w:pPr>
          <w:ind w:left="1803" w:hanging="1083"/>
        </w:pPr>
      </w:lvl>
    </w:lvlOverride>
    <w:lvlOverride w:ilvl="3">
      <w:lvl w:ilvl="3">
        <w:start w:val="1"/>
        <w:numFmt w:val="lowerLetter"/>
        <w:pStyle w:val="TLTAppendixText4"/>
        <w:lvlText w:val="(%4)"/>
        <w:lvlJc w:val="left"/>
        <w:pPr>
          <w:ind w:left="1803" w:hanging="1083"/>
        </w:pPr>
      </w:lvl>
    </w:lvlOverride>
    <w:lvlOverride w:ilvl="4">
      <w:lvl w:ilvl="4">
        <w:start w:val="1"/>
        <w:numFmt w:val="lowerRoman"/>
        <w:pStyle w:val="TLTAppendixText5"/>
        <w:lvlText w:val="(%5)"/>
        <w:lvlJc w:val="left"/>
        <w:pPr>
          <w:ind w:left="2523" w:hanging="720"/>
        </w:pPr>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205" w16cid:durableId="1026952982">
    <w:abstractNumId w:val="17"/>
    <w:lvlOverride w:ilvl="0">
      <w:lvl w:ilvl="0">
        <w:start w:val="1"/>
        <w:numFmt w:val="decimal"/>
        <w:pStyle w:val="TLTScheduleHeading"/>
        <w:suff w:val="nothing"/>
        <w:lvlText w:val="Schedule %1"/>
        <w:lvlJc w:val="left"/>
      </w:lvl>
    </w:lvlOverride>
  </w:num>
  <w:num w:numId="206" w16cid:durableId="184639749">
    <w:abstractNumId w:val="30"/>
  </w:num>
  <w:num w:numId="207" w16cid:durableId="2082172316">
    <w:abstractNumId w:val="37"/>
  </w:num>
  <w:num w:numId="208" w16cid:durableId="2140220750">
    <w:abstractNumId w:val="37"/>
  </w:num>
  <w:num w:numId="209" w16cid:durableId="1608804730">
    <w:abstractNumId w:val="37"/>
  </w:num>
  <w:num w:numId="210" w16cid:durableId="622347522">
    <w:abstractNumId w:val="37"/>
  </w:num>
  <w:num w:numId="211" w16cid:durableId="2129617457">
    <w:abstractNumId w:val="37"/>
  </w:num>
  <w:num w:numId="212" w16cid:durableId="391732459">
    <w:abstractNumId w:val="37"/>
  </w:num>
  <w:num w:numId="213" w16cid:durableId="671448851">
    <w:abstractNumId w:val="37"/>
  </w:num>
  <w:num w:numId="214" w16cid:durableId="789208525">
    <w:abstractNumId w:val="38"/>
  </w:num>
  <w:num w:numId="215" w16cid:durableId="818882448">
    <w:abstractNumId w:val="34"/>
  </w:num>
  <w:num w:numId="216" w16cid:durableId="2106875946">
    <w:abstractNumId w:val="49"/>
  </w:num>
  <w:num w:numId="217" w16cid:durableId="1861164594">
    <w:abstractNumId w:val="15"/>
  </w:num>
  <w:num w:numId="218" w16cid:durableId="692388387">
    <w:abstractNumId w:val="26"/>
  </w:num>
  <w:num w:numId="219" w16cid:durableId="1561282939">
    <w:abstractNumId w:val="36"/>
  </w:num>
  <w:num w:numId="220" w16cid:durableId="2009870303">
    <w:abstractNumId w:val="42"/>
    <w:lvlOverride w:ilvl="0">
      <w:lvl w:ilvl="0">
        <w:start w:val="1"/>
        <w:numFmt w:val="decimal"/>
        <w:pStyle w:val="TLTAppendixText1"/>
        <w:lvlText w:val="%1"/>
        <w:lvlJc w:val="left"/>
        <w:pPr>
          <w:ind w:left="720" w:hanging="720"/>
        </w:pPr>
        <w:rPr>
          <w:color w:val="auto"/>
        </w:rPr>
      </w:lvl>
    </w:lvlOverride>
    <w:lvlOverride w:ilvl="1">
      <w:lvl w:ilvl="1">
        <w:start w:val="1"/>
        <w:numFmt w:val="decimal"/>
        <w:pStyle w:val="TLTAppendixText2"/>
        <w:lvlText w:val="%1.%2"/>
        <w:lvlJc w:val="left"/>
        <w:pPr>
          <w:ind w:left="720" w:hanging="720"/>
        </w:pPr>
        <w:rPr>
          <w:b w:val="0"/>
          <w:bCs w:val="0"/>
        </w:rPr>
      </w:lvl>
    </w:lvlOverride>
    <w:lvlOverride w:ilvl="2">
      <w:lvl w:ilvl="2">
        <w:start w:val="1"/>
        <w:numFmt w:val="decimal"/>
        <w:pStyle w:val="TLTAppendixText3"/>
        <w:lvlText w:val="%1.%2.%3"/>
        <w:lvlJc w:val="left"/>
        <w:pPr>
          <w:ind w:left="1803" w:hanging="1083"/>
        </w:pPr>
      </w:lvl>
    </w:lvlOverride>
    <w:lvlOverride w:ilvl="3">
      <w:lvl w:ilvl="3">
        <w:start w:val="1"/>
        <w:numFmt w:val="decimal"/>
        <w:pStyle w:val="TLTAppendixText4"/>
        <w:lvlText w:val="(%4)"/>
        <w:lvlJc w:val="left"/>
        <w:pPr>
          <w:ind w:left="1803" w:hanging="1083"/>
        </w:pPr>
      </w:lvl>
    </w:lvlOverride>
    <w:lvlOverride w:ilvl="4">
      <w:lvl w:ilvl="4">
        <w:start w:val="1"/>
        <w:numFmt w:val="decimal"/>
        <w:pStyle w:val="TLTAppendixText5"/>
        <w:lvlText w:val="(%5)"/>
        <w:lvlJc w:val="left"/>
        <w:pPr>
          <w:ind w:left="2523" w:hanging="72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21" w16cid:durableId="1204294717">
    <w:abstractNumId w:val="39"/>
  </w:num>
  <w:num w:numId="222" w16cid:durableId="732386925">
    <w:abstractNumId w:val="41"/>
  </w:num>
  <w:num w:numId="223" w16cid:durableId="1892885436">
    <w:abstractNumId w:val="48"/>
  </w:num>
  <w:num w:numId="224" w16cid:durableId="1551572211">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25" w16cid:durableId="1860462595">
    <w:abstractNumId w:val="43"/>
    <w:lvlOverride w:ilvl="0">
      <w:startOverride w:val="1"/>
      <w:lvl w:ilvl="0">
        <w:start w:val="1"/>
        <w:numFmt w:val="decimal"/>
        <w:pStyle w:val="TLTScheduleText1"/>
        <w:lvlText w:val="%1"/>
        <w:lvlJc w:val="left"/>
        <w:pPr>
          <w:ind w:left="720" w:hanging="720"/>
        </w:pPr>
        <w:rPr>
          <w:rFonts w:hint="default"/>
        </w:rPr>
      </w:lvl>
    </w:lvlOverride>
    <w:lvlOverride w:ilvl="1">
      <w:startOverride w:val="1"/>
      <w:lvl w:ilvl="1">
        <w:start w:val="1"/>
        <w:numFmt w:val="decimal"/>
        <w:pStyle w:val="TLTScheduleText2"/>
        <w:lvlText w:val="%1.%2"/>
        <w:lvlJc w:val="left"/>
        <w:pPr>
          <w:ind w:left="720" w:hanging="720"/>
        </w:pPr>
        <w:rPr>
          <w:rFonts w:hint="default"/>
          <w:b w:val="0"/>
          <w:bCs/>
        </w:rPr>
      </w:lvl>
    </w:lvlOverride>
    <w:lvlOverride w:ilvl="2">
      <w:startOverride w:val="1"/>
      <w:lvl w:ilvl="2">
        <w:start w:val="1"/>
        <w:numFmt w:val="decimal"/>
        <w:pStyle w:val="TLTScheduleText3"/>
        <w:lvlText w:val="%1.%2.%3"/>
        <w:lvlJc w:val="left"/>
        <w:pPr>
          <w:ind w:left="1803" w:hanging="1083"/>
        </w:pPr>
        <w:rPr>
          <w:rFonts w:hint="default"/>
        </w:rPr>
      </w:lvl>
    </w:lvlOverride>
    <w:lvlOverride w:ilvl="3">
      <w:startOverride w:val="1"/>
      <w:lvl w:ilvl="3">
        <w:start w:val="1"/>
        <w:numFmt w:val="lowerLetter"/>
        <w:pStyle w:val="TLTScheduleText4"/>
        <w:lvlText w:val="(%4)"/>
        <w:lvlJc w:val="left"/>
        <w:pPr>
          <w:ind w:left="1803" w:hanging="1083"/>
        </w:pPr>
        <w:rPr>
          <w:rFonts w:hint="default"/>
        </w:rPr>
      </w:lvl>
    </w:lvlOverride>
    <w:lvlOverride w:ilvl="4">
      <w:startOverride w:val="1"/>
      <w:lvl w:ilvl="4">
        <w:start w:val="1"/>
        <w:numFmt w:val="lowerRoman"/>
        <w:pStyle w:val="TLTScheduleText5"/>
        <w:lvlText w:val="(%5)"/>
        <w:lvlJc w:val="left"/>
        <w:pPr>
          <w:ind w:left="2523" w:hanging="72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226" w16cid:durableId="172187671">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27" w16cid:durableId="995692833">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28" w16cid:durableId="1984039832">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29" w16cid:durableId="1839149948">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30" w16cid:durableId="1631202188">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31" w16cid:durableId="1254127929">
    <w:abstractNumId w:val="43"/>
    <w:lvlOverride w:ilvl="0">
      <w:lvl w:ilvl="0">
        <w:start w:val="1"/>
        <w:numFmt w:val="decimal"/>
        <w:pStyle w:val="TLTScheduleText1"/>
        <w:lvlText w:val="%1"/>
        <w:lvlJc w:val="left"/>
        <w:pPr>
          <w:ind w:left="720" w:hanging="720"/>
        </w:pPr>
        <w:rPr>
          <w:rFonts w:hint="default"/>
        </w:rPr>
      </w:lvl>
    </w:lvlOverride>
    <w:lvlOverride w:ilvl="1">
      <w:lvl w:ilvl="1">
        <w:start w:val="1"/>
        <w:numFmt w:val="decimal"/>
        <w:pStyle w:val="TLTScheduleText2"/>
        <w:lvlText w:val="%1.%2"/>
        <w:lvlJc w:val="left"/>
        <w:pPr>
          <w:ind w:left="720" w:hanging="720"/>
        </w:pPr>
        <w:rPr>
          <w:rFonts w:hint="default"/>
          <w:b w:val="0"/>
          <w:bCs/>
        </w:rPr>
      </w:lvl>
    </w:lvlOverride>
    <w:lvlOverride w:ilvl="2">
      <w:lvl w:ilvl="2">
        <w:start w:val="1"/>
        <w:numFmt w:val="decimal"/>
        <w:pStyle w:val="TLTScheduleText3"/>
        <w:lvlText w:val="%1.%2.%3"/>
        <w:lvlJc w:val="left"/>
        <w:pPr>
          <w:ind w:left="1803" w:hanging="1083"/>
        </w:pPr>
        <w:rPr>
          <w:rFonts w:hint="default"/>
        </w:rPr>
      </w:lvl>
    </w:lvlOverride>
    <w:lvlOverride w:ilvl="3">
      <w:lvl w:ilvl="3">
        <w:start w:val="1"/>
        <w:numFmt w:val="lowerLetter"/>
        <w:pStyle w:val="TLTScheduleText4"/>
        <w:lvlText w:val="(%4)"/>
        <w:lvlJc w:val="left"/>
        <w:pPr>
          <w:ind w:left="1803" w:hanging="1083"/>
        </w:pPr>
        <w:rPr>
          <w:rFonts w:hint="default"/>
        </w:rPr>
      </w:lvl>
    </w:lvlOverride>
    <w:lvlOverride w:ilvl="4">
      <w:lvl w:ilvl="4">
        <w:start w:val="1"/>
        <w:numFmt w:val="lowerRoman"/>
        <w:pStyle w:val="TLTScheduleText5"/>
        <w:lvlText w:val="(%5)"/>
        <w:lvlJc w:val="left"/>
        <w:pPr>
          <w:ind w:left="2523" w:hanging="72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7F"/>
    <w:rsid w:val="00000002"/>
    <w:rsid w:val="00005D3D"/>
    <w:rsid w:val="00007A09"/>
    <w:rsid w:val="00012CEB"/>
    <w:rsid w:val="000130DC"/>
    <w:rsid w:val="000134E1"/>
    <w:rsid w:val="00016687"/>
    <w:rsid w:val="00017CA1"/>
    <w:rsid w:val="0002026B"/>
    <w:rsid w:val="00023146"/>
    <w:rsid w:val="000251C2"/>
    <w:rsid w:val="00026BC1"/>
    <w:rsid w:val="00027503"/>
    <w:rsid w:val="00027BD8"/>
    <w:rsid w:val="000329D2"/>
    <w:rsid w:val="00033A83"/>
    <w:rsid w:val="00035C60"/>
    <w:rsid w:val="00037FC1"/>
    <w:rsid w:val="0004455D"/>
    <w:rsid w:val="000449E8"/>
    <w:rsid w:val="000461A9"/>
    <w:rsid w:val="0005028C"/>
    <w:rsid w:val="00053A32"/>
    <w:rsid w:val="000540AB"/>
    <w:rsid w:val="00057FBA"/>
    <w:rsid w:val="0006172B"/>
    <w:rsid w:val="00070454"/>
    <w:rsid w:val="000712E7"/>
    <w:rsid w:val="00073AB0"/>
    <w:rsid w:val="00075AC5"/>
    <w:rsid w:val="00077E86"/>
    <w:rsid w:val="00080349"/>
    <w:rsid w:val="00091926"/>
    <w:rsid w:val="000977E8"/>
    <w:rsid w:val="000A0290"/>
    <w:rsid w:val="000A3A2E"/>
    <w:rsid w:val="000A608E"/>
    <w:rsid w:val="000A63A8"/>
    <w:rsid w:val="000B163E"/>
    <w:rsid w:val="000B3D6F"/>
    <w:rsid w:val="000C30F8"/>
    <w:rsid w:val="000C5583"/>
    <w:rsid w:val="000C6532"/>
    <w:rsid w:val="000D1FA4"/>
    <w:rsid w:val="000E18CE"/>
    <w:rsid w:val="000F4C13"/>
    <w:rsid w:val="000F4EC7"/>
    <w:rsid w:val="000F6E61"/>
    <w:rsid w:val="000F7174"/>
    <w:rsid w:val="001005A9"/>
    <w:rsid w:val="001008C5"/>
    <w:rsid w:val="00100EC6"/>
    <w:rsid w:val="00101FB9"/>
    <w:rsid w:val="0010285A"/>
    <w:rsid w:val="00104136"/>
    <w:rsid w:val="00106F54"/>
    <w:rsid w:val="00107257"/>
    <w:rsid w:val="0010774B"/>
    <w:rsid w:val="001103AF"/>
    <w:rsid w:val="001107FE"/>
    <w:rsid w:val="00110924"/>
    <w:rsid w:val="001114FC"/>
    <w:rsid w:val="00111C88"/>
    <w:rsid w:val="00111CD9"/>
    <w:rsid w:val="00112824"/>
    <w:rsid w:val="001146C2"/>
    <w:rsid w:val="00114B66"/>
    <w:rsid w:val="001167E0"/>
    <w:rsid w:val="00117BD6"/>
    <w:rsid w:val="00122F91"/>
    <w:rsid w:val="00125918"/>
    <w:rsid w:val="001304D5"/>
    <w:rsid w:val="00130FC5"/>
    <w:rsid w:val="001329E0"/>
    <w:rsid w:val="00150A8F"/>
    <w:rsid w:val="00154C35"/>
    <w:rsid w:val="00161E7E"/>
    <w:rsid w:val="0016388A"/>
    <w:rsid w:val="001659CF"/>
    <w:rsid w:val="00167B23"/>
    <w:rsid w:val="00171E7A"/>
    <w:rsid w:val="00172AA0"/>
    <w:rsid w:val="00172FFC"/>
    <w:rsid w:val="00177040"/>
    <w:rsid w:val="00181480"/>
    <w:rsid w:val="001874A0"/>
    <w:rsid w:val="00193292"/>
    <w:rsid w:val="00194C32"/>
    <w:rsid w:val="001A15E0"/>
    <w:rsid w:val="001A248B"/>
    <w:rsid w:val="001A2881"/>
    <w:rsid w:val="001A3765"/>
    <w:rsid w:val="001A474E"/>
    <w:rsid w:val="001A5892"/>
    <w:rsid w:val="001B54F1"/>
    <w:rsid w:val="001B66A9"/>
    <w:rsid w:val="001C0BFC"/>
    <w:rsid w:val="001C1246"/>
    <w:rsid w:val="001C1330"/>
    <w:rsid w:val="001C3745"/>
    <w:rsid w:val="001C3E8C"/>
    <w:rsid w:val="001C63B6"/>
    <w:rsid w:val="001C664B"/>
    <w:rsid w:val="001C7E19"/>
    <w:rsid w:val="001D08A3"/>
    <w:rsid w:val="001D0EFC"/>
    <w:rsid w:val="001D2579"/>
    <w:rsid w:val="001E1139"/>
    <w:rsid w:val="001E22F7"/>
    <w:rsid w:val="001E2354"/>
    <w:rsid w:val="001E4E0E"/>
    <w:rsid w:val="001E580E"/>
    <w:rsid w:val="001E7E4B"/>
    <w:rsid w:val="001F037B"/>
    <w:rsid w:val="001F51E4"/>
    <w:rsid w:val="00203EAE"/>
    <w:rsid w:val="0020589C"/>
    <w:rsid w:val="002122A8"/>
    <w:rsid w:val="002133DF"/>
    <w:rsid w:val="00213E3A"/>
    <w:rsid w:val="00214399"/>
    <w:rsid w:val="00214887"/>
    <w:rsid w:val="00214AF4"/>
    <w:rsid w:val="002152A1"/>
    <w:rsid w:val="00222807"/>
    <w:rsid w:val="002246EA"/>
    <w:rsid w:val="002254F1"/>
    <w:rsid w:val="00234AD4"/>
    <w:rsid w:val="002434EC"/>
    <w:rsid w:val="00243655"/>
    <w:rsid w:val="00253EF1"/>
    <w:rsid w:val="00255901"/>
    <w:rsid w:val="0026379A"/>
    <w:rsid w:val="002655E5"/>
    <w:rsid w:val="00265DFC"/>
    <w:rsid w:val="00272495"/>
    <w:rsid w:val="00274CAF"/>
    <w:rsid w:val="00276A34"/>
    <w:rsid w:val="00276CCF"/>
    <w:rsid w:val="00280B13"/>
    <w:rsid w:val="0028644F"/>
    <w:rsid w:val="00286613"/>
    <w:rsid w:val="00294086"/>
    <w:rsid w:val="00296F69"/>
    <w:rsid w:val="002A3AEC"/>
    <w:rsid w:val="002A6F47"/>
    <w:rsid w:val="002B0DAB"/>
    <w:rsid w:val="002B33D9"/>
    <w:rsid w:val="002C05B4"/>
    <w:rsid w:val="002C1A8A"/>
    <w:rsid w:val="002C28FB"/>
    <w:rsid w:val="002C555B"/>
    <w:rsid w:val="002C5926"/>
    <w:rsid w:val="002C715D"/>
    <w:rsid w:val="002C7A10"/>
    <w:rsid w:val="002D3E2B"/>
    <w:rsid w:val="002D4A0E"/>
    <w:rsid w:val="002D5A9E"/>
    <w:rsid w:val="002E0AA9"/>
    <w:rsid w:val="002E249C"/>
    <w:rsid w:val="002E336E"/>
    <w:rsid w:val="002E3529"/>
    <w:rsid w:val="002E7628"/>
    <w:rsid w:val="002E7893"/>
    <w:rsid w:val="002E7E4C"/>
    <w:rsid w:val="002F4ECD"/>
    <w:rsid w:val="00301521"/>
    <w:rsid w:val="0030476A"/>
    <w:rsid w:val="003055A2"/>
    <w:rsid w:val="0030788D"/>
    <w:rsid w:val="00307A35"/>
    <w:rsid w:val="00311768"/>
    <w:rsid w:val="00311EAF"/>
    <w:rsid w:val="00313C68"/>
    <w:rsid w:val="00316F88"/>
    <w:rsid w:val="003207F3"/>
    <w:rsid w:val="003211AB"/>
    <w:rsid w:val="003228B0"/>
    <w:rsid w:val="0032456F"/>
    <w:rsid w:val="00331D65"/>
    <w:rsid w:val="00333658"/>
    <w:rsid w:val="003336F2"/>
    <w:rsid w:val="003346D0"/>
    <w:rsid w:val="003370F2"/>
    <w:rsid w:val="00337B74"/>
    <w:rsid w:val="00340E1C"/>
    <w:rsid w:val="003424E6"/>
    <w:rsid w:val="003443B0"/>
    <w:rsid w:val="00344F28"/>
    <w:rsid w:val="003458D9"/>
    <w:rsid w:val="00347735"/>
    <w:rsid w:val="00350459"/>
    <w:rsid w:val="0035364D"/>
    <w:rsid w:val="0035413C"/>
    <w:rsid w:val="00356252"/>
    <w:rsid w:val="00357DA8"/>
    <w:rsid w:val="0036007E"/>
    <w:rsid w:val="00361297"/>
    <w:rsid w:val="0036391D"/>
    <w:rsid w:val="003651F6"/>
    <w:rsid w:val="00365BFE"/>
    <w:rsid w:val="00365E85"/>
    <w:rsid w:val="00370AA8"/>
    <w:rsid w:val="00371470"/>
    <w:rsid w:val="00372F17"/>
    <w:rsid w:val="00381675"/>
    <w:rsid w:val="00383A3F"/>
    <w:rsid w:val="00384703"/>
    <w:rsid w:val="00387672"/>
    <w:rsid w:val="0039062F"/>
    <w:rsid w:val="00393C2A"/>
    <w:rsid w:val="00394177"/>
    <w:rsid w:val="003947E5"/>
    <w:rsid w:val="00394CA2"/>
    <w:rsid w:val="00397E49"/>
    <w:rsid w:val="003A0615"/>
    <w:rsid w:val="003A2071"/>
    <w:rsid w:val="003A2F82"/>
    <w:rsid w:val="003A40F1"/>
    <w:rsid w:val="003A4522"/>
    <w:rsid w:val="003B0656"/>
    <w:rsid w:val="003B0812"/>
    <w:rsid w:val="003B0F76"/>
    <w:rsid w:val="003B33D2"/>
    <w:rsid w:val="003B4AF8"/>
    <w:rsid w:val="003C5038"/>
    <w:rsid w:val="003C67CE"/>
    <w:rsid w:val="003D3AD2"/>
    <w:rsid w:val="003D4A31"/>
    <w:rsid w:val="003D64D2"/>
    <w:rsid w:val="003D6C14"/>
    <w:rsid w:val="003D79FE"/>
    <w:rsid w:val="003E6AAA"/>
    <w:rsid w:val="003E6B8A"/>
    <w:rsid w:val="003F7567"/>
    <w:rsid w:val="004000D1"/>
    <w:rsid w:val="0040160D"/>
    <w:rsid w:val="00403C5E"/>
    <w:rsid w:val="00403EB5"/>
    <w:rsid w:val="00403FC9"/>
    <w:rsid w:val="00404986"/>
    <w:rsid w:val="004105B1"/>
    <w:rsid w:val="00411A81"/>
    <w:rsid w:val="00413B57"/>
    <w:rsid w:val="0041432D"/>
    <w:rsid w:val="00415626"/>
    <w:rsid w:val="004169F9"/>
    <w:rsid w:val="00417AA6"/>
    <w:rsid w:val="004206B9"/>
    <w:rsid w:val="00421042"/>
    <w:rsid w:val="00423456"/>
    <w:rsid w:val="00426A47"/>
    <w:rsid w:val="00427107"/>
    <w:rsid w:val="004325E5"/>
    <w:rsid w:val="00433758"/>
    <w:rsid w:val="00441DC0"/>
    <w:rsid w:val="00442DAE"/>
    <w:rsid w:val="004478E6"/>
    <w:rsid w:val="0045300E"/>
    <w:rsid w:val="00455DD3"/>
    <w:rsid w:val="00471BD0"/>
    <w:rsid w:val="004727DA"/>
    <w:rsid w:val="0047552E"/>
    <w:rsid w:val="00476852"/>
    <w:rsid w:val="004811E1"/>
    <w:rsid w:val="00481A88"/>
    <w:rsid w:val="00482507"/>
    <w:rsid w:val="004828F9"/>
    <w:rsid w:val="00484204"/>
    <w:rsid w:val="004876F4"/>
    <w:rsid w:val="00490402"/>
    <w:rsid w:val="004906B4"/>
    <w:rsid w:val="0049127B"/>
    <w:rsid w:val="004923FF"/>
    <w:rsid w:val="00492F28"/>
    <w:rsid w:val="00494ED2"/>
    <w:rsid w:val="0049564A"/>
    <w:rsid w:val="0049688E"/>
    <w:rsid w:val="004A37C7"/>
    <w:rsid w:val="004A4074"/>
    <w:rsid w:val="004A666C"/>
    <w:rsid w:val="004B00E8"/>
    <w:rsid w:val="004B034A"/>
    <w:rsid w:val="004B14DB"/>
    <w:rsid w:val="004B2758"/>
    <w:rsid w:val="004B452C"/>
    <w:rsid w:val="004C0808"/>
    <w:rsid w:val="004C2BED"/>
    <w:rsid w:val="004C4095"/>
    <w:rsid w:val="004C5000"/>
    <w:rsid w:val="004D3D99"/>
    <w:rsid w:val="004D5B4E"/>
    <w:rsid w:val="004D6DA1"/>
    <w:rsid w:val="004E37A4"/>
    <w:rsid w:val="004E754F"/>
    <w:rsid w:val="004F475E"/>
    <w:rsid w:val="004F53F0"/>
    <w:rsid w:val="004F7369"/>
    <w:rsid w:val="005009C5"/>
    <w:rsid w:val="005022A6"/>
    <w:rsid w:val="00502825"/>
    <w:rsid w:val="00502BC8"/>
    <w:rsid w:val="0050322E"/>
    <w:rsid w:val="005062B5"/>
    <w:rsid w:val="00513E70"/>
    <w:rsid w:val="00520B60"/>
    <w:rsid w:val="00522147"/>
    <w:rsid w:val="005226FE"/>
    <w:rsid w:val="00524F5D"/>
    <w:rsid w:val="00525AC3"/>
    <w:rsid w:val="005344FF"/>
    <w:rsid w:val="00541881"/>
    <w:rsid w:val="00552EDD"/>
    <w:rsid w:val="0055328E"/>
    <w:rsid w:val="00556601"/>
    <w:rsid w:val="00557EC0"/>
    <w:rsid w:val="00561A68"/>
    <w:rsid w:val="00564FD5"/>
    <w:rsid w:val="00565505"/>
    <w:rsid w:val="00571AD5"/>
    <w:rsid w:val="00572432"/>
    <w:rsid w:val="00573B61"/>
    <w:rsid w:val="005744AB"/>
    <w:rsid w:val="00574934"/>
    <w:rsid w:val="00574D43"/>
    <w:rsid w:val="00574D96"/>
    <w:rsid w:val="005769C8"/>
    <w:rsid w:val="00580EE9"/>
    <w:rsid w:val="00582246"/>
    <w:rsid w:val="00583261"/>
    <w:rsid w:val="00584263"/>
    <w:rsid w:val="00585E6E"/>
    <w:rsid w:val="0058708B"/>
    <w:rsid w:val="00593ADE"/>
    <w:rsid w:val="00595B35"/>
    <w:rsid w:val="00596903"/>
    <w:rsid w:val="005A43ED"/>
    <w:rsid w:val="005A44C7"/>
    <w:rsid w:val="005A6F26"/>
    <w:rsid w:val="005A74BE"/>
    <w:rsid w:val="005B0107"/>
    <w:rsid w:val="005B1E3E"/>
    <w:rsid w:val="005B2FF1"/>
    <w:rsid w:val="005B3395"/>
    <w:rsid w:val="005B3436"/>
    <w:rsid w:val="005B41D8"/>
    <w:rsid w:val="005B5539"/>
    <w:rsid w:val="005B6B6D"/>
    <w:rsid w:val="005B786C"/>
    <w:rsid w:val="005C260E"/>
    <w:rsid w:val="005C76B5"/>
    <w:rsid w:val="005D20E5"/>
    <w:rsid w:val="005D2377"/>
    <w:rsid w:val="005D27E6"/>
    <w:rsid w:val="005D2F3A"/>
    <w:rsid w:val="005D645D"/>
    <w:rsid w:val="005E30B3"/>
    <w:rsid w:val="005E3DDC"/>
    <w:rsid w:val="005E475E"/>
    <w:rsid w:val="005E4EF5"/>
    <w:rsid w:val="005F2B53"/>
    <w:rsid w:val="005F5C72"/>
    <w:rsid w:val="005F75B8"/>
    <w:rsid w:val="00602D6F"/>
    <w:rsid w:val="00606F30"/>
    <w:rsid w:val="006132BE"/>
    <w:rsid w:val="00613CBE"/>
    <w:rsid w:val="0061731E"/>
    <w:rsid w:val="006173AF"/>
    <w:rsid w:val="00617A55"/>
    <w:rsid w:val="00623A1F"/>
    <w:rsid w:val="006249A3"/>
    <w:rsid w:val="006249C3"/>
    <w:rsid w:val="00624B66"/>
    <w:rsid w:val="006250FE"/>
    <w:rsid w:val="006320D5"/>
    <w:rsid w:val="006367C9"/>
    <w:rsid w:val="00636B6C"/>
    <w:rsid w:val="006416A5"/>
    <w:rsid w:val="00641FFD"/>
    <w:rsid w:val="00642E01"/>
    <w:rsid w:val="0064505E"/>
    <w:rsid w:val="00646D8B"/>
    <w:rsid w:val="00647177"/>
    <w:rsid w:val="006474CF"/>
    <w:rsid w:val="00651916"/>
    <w:rsid w:val="00651C1C"/>
    <w:rsid w:val="006521A0"/>
    <w:rsid w:val="0065246B"/>
    <w:rsid w:val="00653287"/>
    <w:rsid w:val="00655AA3"/>
    <w:rsid w:val="00656219"/>
    <w:rsid w:val="006639EF"/>
    <w:rsid w:val="0066698F"/>
    <w:rsid w:val="006742C0"/>
    <w:rsid w:val="00674F06"/>
    <w:rsid w:val="0067620B"/>
    <w:rsid w:val="00676DE1"/>
    <w:rsid w:val="006924BE"/>
    <w:rsid w:val="006A121D"/>
    <w:rsid w:val="006A6744"/>
    <w:rsid w:val="006B2780"/>
    <w:rsid w:val="006B586F"/>
    <w:rsid w:val="006C1206"/>
    <w:rsid w:val="006C209F"/>
    <w:rsid w:val="006C233E"/>
    <w:rsid w:val="006C4EA1"/>
    <w:rsid w:val="006C7B69"/>
    <w:rsid w:val="006C7F0F"/>
    <w:rsid w:val="006D562E"/>
    <w:rsid w:val="006D621E"/>
    <w:rsid w:val="006D6803"/>
    <w:rsid w:val="006D6C7C"/>
    <w:rsid w:val="006D761C"/>
    <w:rsid w:val="006E2130"/>
    <w:rsid w:val="006E288D"/>
    <w:rsid w:val="006F0E69"/>
    <w:rsid w:val="006F2513"/>
    <w:rsid w:val="006F5FF4"/>
    <w:rsid w:val="00701717"/>
    <w:rsid w:val="0070219B"/>
    <w:rsid w:val="0070281B"/>
    <w:rsid w:val="00703724"/>
    <w:rsid w:val="00705ACE"/>
    <w:rsid w:val="00710DFA"/>
    <w:rsid w:val="007114CA"/>
    <w:rsid w:val="00711678"/>
    <w:rsid w:val="007117A7"/>
    <w:rsid w:val="00717F7D"/>
    <w:rsid w:val="00720227"/>
    <w:rsid w:val="0072084D"/>
    <w:rsid w:val="00723197"/>
    <w:rsid w:val="0072359C"/>
    <w:rsid w:val="00723FE3"/>
    <w:rsid w:val="007247D7"/>
    <w:rsid w:val="007250B4"/>
    <w:rsid w:val="00727423"/>
    <w:rsid w:val="00733DB1"/>
    <w:rsid w:val="00733E07"/>
    <w:rsid w:val="00735710"/>
    <w:rsid w:val="00743020"/>
    <w:rsid w:val="00743A3E"/>
    <w:rsid w:val="00747027"/>
    <w:rsid w:val="00747300"/>
    <w:rsid w:val="0075025A"/>
    <w:rsid w:val="00761E59"/>
    <w:rsid w:val="0076285F"/>
    <w:rsid w:val="00763F9D"/>
    <w:rsid w:val="00772A04"/>
    <w:rsid w:val="007734A0"/>
    <w:rsid w:val="00775F89"/>
    <w:rsid w:val="00776D5A"/>
    <w:rsid w:val="007770B3"/>
    <w:rsid w:val="00777ABD"/>
    <w:rsid w:val="007831E5"/>
    <w:rsid w:val="007861DC"/>
    <w:rsid w:val="00791736"/>
    <w:rsid w:val="00791F9E"/>
    <w:rsid w:val="0079280B"/>
    <w:rsid w:val="007938A4"/>
    <w:rsid w:val="00796AA1"/>
    <w:rsid w:val="00797A27"/>
    <w:rsid w:val="00797A51"/>
    <w:rsid w:val="007A053C"/>
    <w:rsid w:val="007A072A"/>
    <w:rsid w:val="007A5EA2"/>
    <w:rsid w:val="007B29AE"/>
    <w:rsid w:val="007B7437"/>
    <w:rsid w:val="007C17D3"/>
    <w:rsid w:val="007C3386"/>
    <w:rsid w:val="007C5C85"/>
    <w:rsid w:val="007C6E5E"/>
    <w:rsid w:val="007D311F"/>
    <w:rsid w:val="007D6C85"/>
    <w:rsid w:val="007E177C"/>
    <w:rsid w:val="007E7055"/>
    <w:rsid w:val="007F01A8"/>
    <w:rsid w:val="007F3CA2"/>
    <w:rsid w:val="007F4E37"/>
    <w:rsid w:val="007F5500"/>
    <w:rsid w:val="007F552F"/>
    <w:rsid w:val="00805EA6"/>
    <w:rsid w:val="00806759"/>
    <w:rsid w:val="008074B6"/>
    <w:rsid w:val="00810A0B"/>
    <w:rsid w:val="00811E74"/>
    <w:rsid w:val="008158CD"/>
    <w:rsid w:val="00820098"/>
    <w:rsid w:val="008200A1"/>
    <w:rsid w:val="00822BD9"/>
    <w:rsid w:val="00823629"/>
    <w:rsid w:val="00826FC9"/>
    <w:rsid w:val="0082779B"/>
    <w:rsid w:val="0083143B"/>
    <w:rsid w:val="00833EAA"/>
    <w:rsid w:val="0084495B"/>
    <w:rsid w:val="00845F83"/>
    <w:rsid w:val="00846AFB"/>
    <w:rsid w:val="0085072B"/>
    <w:rsid w:val="008511A9"/>
    <w:rsid w:val="0085311E"/>
    <w:rsid w:val="00856C68"/>
    <w:rsid w:val="00857810"/>
    <w:rsid w:val="00857AEA"/>
    <w:rsid w:val="00860CCC"/>
    <w:rsid w:val="0086162A"/>
    <w:rsid w:val="008628C1"/>
    <w:rsid w:val="00863D10"/>
    <w:rsid w:val="00864E26"/>
    <w:rsid w:val="00864F2B"/>
    <w:rsid w:val="00866814"/>
    <w:rsid w:val="00874EAC"/>
    <w:rsid w:val="00876872"/>
    <w:rsid w:val="0087717C"/>
    <w:rsid w:val="00877C98"/>
    <w:rsid w:val="00881D18"/>
    <w:rsid w:val="00881E77"/>
    <w:rsid w:val="008821AB"/>
    <w:rsid w:val="008821CE"/>
    <w:rsid w:val="00882368"/>
    <w:rsid w:val="00882D42"/>
    <w:rsid w:val="0088377C"/>
    <w:rsid w:val="00884C97"/>
    <w:rsid w:val="00890EAB"/>
    <w:rsid w:val="00892B91"/>
    <w:rsid w:val="008946B8"/>
    <w:rsid w:val="008A43D8"/>
    <w:rsid w:val="008A4F5B"/>
    <w:rsid w:val="008B0E58"/>
    <w:rsid w:val="008B703D"/>
    <w:rsid w:val="008C41B5"/>
    <w:rsid w:val="008C7D37"/>
    <w:rsid w:val="008D0224"/>
    <w:rsid w:val="008D4F8F"/>
    <w:rsid w:val="008D5015"/>
    <w:rsid w:val="008D7EFB"/>
    <w:rsid w:val="008E0D75"/>
    <w:rsid w:val="008E1BF5"/>
    <w:rsid w:val="008E3B6C"/>
    <w:rsid w:val="008E41D7"/>
    <w:rsid w:val="008E62C7"/>
    <w:rsid w:val="008E6A9C"/>
    <w:rsid w:val="008F2BDD"/>
    <w:rsid w:val="008F3093"/>
    <w:rsid w:val="008F4CE7"/>
    <w:rsid w:val="009016EF"/>
    <w:rsid w:val="009028F8"/>
    <w:rsid w:val="009101B7"/>
    <w:rsid w:val="00912FD0"/>
    <w:rsid w:val="00913E9B"/>
    <w:rsid w:val="00916648"/>
    <w:rsid w:val="00917ACB"/>
    <w:rsid w:val="0092051D"/>
    <w:rsid w:val="00922AE0"/>
    <w:rsid w:val="0092375E"/>
    <w:rsid w:val="00923F4A"/>
    <w:rsid w:val="009240BB"/>
    <w:rsid w:val="009247DB"/>
    <w:rsid w:val="009266A0"/>
    <w:rsid w:val="00932DBF"/>
    <w:rsid w:val="009349BF"/>
    <w:rsid w:val="0093537F"/>
    <w:rsid w:val="0093666E"/>
    <w:rsid w:val="00940BD9"/>
    <w:rsid w:val="0094125C"/>
    <w:rsid w:val="00943A47"/>
    <w:rsid w:val="00944B06"/>
    <w:rsid w:val="00946A70"/>
    <w:rsid w:val="009472F4"/>
    <w:rsid w:val="00947A9A"/>
    <w:rsid w:val="00952F4A"/>
    <w:rsid w:val="0095551D"/>
    <w:rsid w:val="00955AA8"/>
    <w:rsid w:val="0096073E"/>
    <w:rsid w:val="009612FE"/>
    <w:rsid w:val="0096549C"/>
    <w:rsid w:val="009677EF"/>
    <w:rsid w:val="00967EA4"/>
    <w:rsid w:val="00970433"/>
    <w:rsid w:val="0097492B"/>
    <w:rsid w:val="00980B86"/>
    <w:rsid w:val="009848E9"/>
    <w:rsid w:val="009941A3"/>
    <w:rsid w:val="00997707"/>
    <w:rsid w:val="00997B11"/>
    <w:rsid w:val="009A5109"/>
    <w:rsid w:val="009A62C2"/>
    <w:rsid w:val="009A7839"/>
    <w:rsid w:val="009B0F7A"/>
    <w:rsid w:val="009B4410"/>
    <w:rsid w:val="009B7EFC"/>
    <w:rsid w:val="009C0287"/>
    <w:rsid w:val="009C03E5"/>
    <w:rsid w:val="009C37B4"/>
    <w:rsid w:val="009C3D75"/>
    <w:rsid w:val="009C6CE1"/>
    <w:rsid w:val="009C711B"/>
    <w:rsid w:val="009D09E7"/>
    <w:rsid w:val="009D1F78"/>
    <w:rsid w:val="009D2AD0"/>
    <w:rsid w:val="009D3276"/>
    <w:rsid w:val="009D3A7B"/>
    <w:rsid w:val="009D69EA"/>
    <w:rsid w:val="009E04CF"/>
    <w:rsid w:val="009E24FA"/>
    <w:rsid w:val="009E761E"/>
    <w:rsid w:val="009F1224"/>
    <w:rsid w:val="009F1BE3"/>
    <w:rsid w:val="009F476A"/>
    <w:rsid w:val="009F6C9D"/>
    <w:rsid w:val="009F7B7A"/>
    <w:rsid w:val="00A00B52"/>
    <w:rsid w:val="00A030AF"/>
    <w:rsid w:val="00A035CC"/>
    <w:rsid w:val="00A06909"/>
    <w:rsid w:val="00A10C37"/>
    <w:rsid w:val="00A11AA2"/>
    <w:rsid w:val="00A16648"/>
    <w:rsid w:val="00A167AD"/>
    <w:rsid w:val="00A2092B"/>
    <w:rsid w:val="00A22DAE"/>
    <w:rsid w:val="00A26BA1"/>
    <w:rsid w:val="00A31213"/>
    <w:rsid w:val="00A365DC"/>
    <w:rsid w:val="00A37F3D"/>
    <w:rsid w:val="00A404A0"/>
    <w:rsid w:val="00A414D8"/>
    <w:rsid w:val="00A41A2A"/>
    <w:rsid w:val="00A42983"/>
    <w:rsid w:val="00A43FD0"/>
    <w:rsid w:val="00A445B2"/>
    <w:rsid w:val="00A47010"/>
    <w:rsid w:val="00A5131B"/>
    <w:rsid w:val="00A520A8"/>
    <w:rsid w:val="00A53132"/>
    <w:rsid w:val="00A53EC4"/>
    <w:rsid w:val="00A56433"/>
    <w:rsid w:val="00A61912"/>
    <w:rsid w:val="00A62B38"/>
    <w:rsid w:val="00A70ABD"/>
    <w:rsid w:val="00A73F32"/>
    <w:rsid w:val="00A7635E"/>
    <w:rsid w:val="00A77057"/>
    <w:rsid w:val="00A774BC"/>
    <w:rsid w:val="00A77D0F"/>
    <w:rsid w:val="00A8002A"/>
    <w:rsid w:val="00A80F89"/>
    <w:rsid w:val="00A8373F"/>
    <w:rsid w:val="00A84231"/>
    <w:rsid w:val="00A85A48"/>
    <w:rsid w:val="00A9403A"/>
    <w:rsid w:val="00A9624A"/>
    <w:rsid w:val="00AA3403"/>
    <w:rsid w:val="00AA4008"/>
    <w:rsid w:val="00AA42CE"/>
    <w:rsid w:val="00AB0CA9"/>
    <w:rsid w:val="00AB134A"/>
    <w:rsid w:val="00AB4C09"/>
    <w:rsid w:val="00AB4D28"/>
    <w:rsid w:val="00AB588C"/>
    <w:rsid w:val="00AB74FE"/>
    <w:rsid w:val="00AC121A"/>
    <w:rsid w:val="00AC281B"/>
    <w:rsid w:val="00AC3710"/>
    <w:rsid w:val="00AD039B"/>
    <w:rsid w:val="00AD1209"/>
    <w:rsid w:val="00AD16BA"/>
    <w:rsid w:val="00AD5758"/>
    <w:rsid w:val="00AD6284"/>
    <w:rsid w:val="00AD7033"/>
    <w:rsid w:val="00AD7417"/>
    <w:rsid w:val="00AD7C3D"/>
    <w:rsid w:val="00AE3996"/>
    <w:rsid w:val="00AF039E"/>
    <w:rsid w:val="00AF05FC"/>
    <w:rsid w:val="00AF3819"/>
    <w:rsid w:val="00AF6258"/>
    <w:rsid w:val="00AF711F"/>
    <w:rsid w:val="00B025D3"/>
    <w:rsid w:val="00B04521"/>
    <w:rsid w:val="00B10B84"/>
    <w:rsid w:val="00B10E45"/>
    <w:rsid w:val="00B138B4"/>
    <w:rsid w:val="00B13BD4"/>
    <w:rsid w:val="00B1485B"/>
    <w:rsid w:val="00B148D8"/>
    <w:rsid w:val="00B167C9"/>
    <w:rsid w:val="00B23BB6"/>
    <w:rsid w:val="00B27433"/>
    <w:rsid w:val="00B30494"/>
    <w:rsid w:val="00B31A9A"/>
    <w:rsid w:val="00B3364A"/>
    <w:rsid w:val="00B33F5A"/>
    <w:rsid w:val="00B34D4B"/>
    <w:rsid w:val="00B45F98"/>
    <w:rsid w:val="00B50068"/>
    <w:rsid w:val="00B506DF"/>
    <w:rsid w:val="00B5281C"/>
    <w:rsid w:val="00B5305B"/>
    <w:rsid w:val="00B5315B"/>
    <w:rsid w:val="00B53C7A"/>
    <w:rsid w:val="00B55AC2"/>
    <w:rsid w:val="00B55C04"/>
    <w:rsid w:val="00B57146"/>
    <w:rsid w:val="00B61260"/>
    <w:rsid w:val="00B63C60"/>
    <w:rsid w:val="00B64D43"/>
    <w:rsid w:val="00B719DB"/>
    <w:rsid w:val="00B727FB"/>
    <w:rsid w:val="00B730E0"/>
    <w:rsid w:val="00B74475"/>
    <w:rsid w:val="00B764AC"/>
    <w:rsid w:val="00B80105"/>
    <w:rsid w:val="00B830B4"/>
    <w:rsid w:val="00B84003"/>
    <w:rsid w:val="00B861C1"/>
    <w:rsid w:val="00B87AB6"/>
    <w:rsid w:val="00B900E5"/>
    <w:rsid w:val="00B912EC"/>
    <w:rsid w:val="00B94D2F"/>
    <w:rsid w:val="00BA0BF0"/>
    <w:rsid w:val="00BA0C4C"/>
    <w:rsid w:val="00BA20D9"/>
    <w:rsid w:val="00BA314C"/>
    <w:rsid w:val="00BA318C"/>
    <w:rsid w:val="00BB09A0"/>
    <w:rsid w:val="00BB1D45"/>
    <w:rsid w:val="00BB2C3F"/>
    <w:rsid w:val="00BB344F"/>
    <w:rsid w:val="00BB3DBD"/>
    <w:rsid w:val="00BB5647"/>
    <w:rsid w:val="00BC27D3"/>
    <w:rsid w:val="00BC5687"/>
    <w:rsid w:val="00BC66D7"/>
    <w:rsid w:val="00BC7A41"/>
    <w:rsid w:val="00BD0253"/>
    <w:rsid w:val="00BD0AB7"/>
    <w:rsid w:val="00BD0BC7"/>
    <w:rsid w:val="00BD2B40"/>
    <w:rsid w:val="00BD3B7C"/>
    <w:rsid w:val="00BD3FD1"/>
    <w:rsid w:val="00BD4270"/>
    <w:rsid w:val="00BD58B5"/>
    <w:rsid w:val="00BD7FF2"/>
    <w:rsid w:val="00BE0DAA"/>
    <w:rsid w:val="00BE0FF5"/>
    <w:rsid w:val="00BE13C8"/>
    <w:rsid w:val="00BE2410"/>
    <w:rsid w:val="00BE44F8"/>
    <w:rsid w:val="00BE4951"/>
    <w:rsid w:val="00BE6C5B"/>
    <w:rsid w:val="00BE7610"/>
    <w:rsid w:val="00BF07A6"/>
    <w:rsid w:val="00BF4400"/>
    <w:rsid w:val="00BF499C"/>
    <w:rsid w:val="00BF70B9"/>
    <w:rsid w:val="00BF7401"/>
    <w:rsid w:val="00C01232"/>
    <w:rsid w:val="00C02C2F"/>
    <w:rsid w:val="00C0333E"/>
    <w:rsid w:val="00C03CAD"/>
    <w:rsid w:val="00C05642"/>
    <w:rsid w:val="00C064A3"/>
    <w:rsid w:val="00C067C3"/>
    <w:rsid w:val="00C0699E"/>
    <w:rsid w:val="00C075FC"/>
    <w:rsid w:val="00C07C71"/>
    <w:rsid w:val="00C11C28"/>
    <w:rsid w:val="00C12725"/>
    <w:rsid w:val="00C1556C"/>
    <w:rsid w:val="00C2170B"/>
    <w:rsid w:val="00C24258"/>
    <w:rsid w:val="00C30AD2"/>
    <w:rsid w:val="00C311DC"/>
    <w:rsid w:val="00C31BBC"/>
    <w:rsid w:val="00C35274"/>
    <w:rsid w:val="00C35322"/>
    <w:rsid w:val="00C3580B"/>
    <w:rsid w:val="00C3591B"/>
    <w:rsid w:val="00C405A6"/>
    <w:rsid w:val="00C4165A"/>
    <w:rsid w:val="00C42A13"/>
    <w:rsid w:val="00C4500C"/>
    <w:rsid w:val="00C54566"/>
    <w:rsid w:val="00C549B0"/>
    <w:rsid w:val="00C5651F"/>
    <w:rsid w:val="00C61A90"/>
    <w:rsid w:val="00C66232"/>
    <w:rsid w:val="00C67BF2"/>
    <w:rsid w:val="00C76116"/>
    <w:rsid w:val="00C7753F"/>
    <w:rsid w:val="00C800AB"/>
    <w:rsid w:val="00C80E21"/>
    <w:rsid w:val="00C832B3"/>
    <w:rsid w:val="00C8445E"/>
    <w:rsid w:val="00C84BD8"/>
    <w:rsid w:val="00C8634C"/>
    <w:rsid w:val="00C8697A"/>
    <w:rsid w:val="00C872E6"/>
    <w:rsid w:val="00C87E58"/>
    <w:rsid w:val="00C9037D"/>
    <w:rsid w:val="00C924EF"/>
    <w:rsid w:val="00C9532E"/>
    <w:rsid w:val="00C96E01"/>
    <w:rsid w:val="00C97B62"/>
    <w:rsid w:val="00CA1279"/>
    <w:rsid w:val="00CA4ADB"/>
    <w:rsid w:val="00CA6E63"/>
    <w:rsid w:val="00CB01A9"/>
    <w:rsid w:val="00CB2549"/>
    <w:rsid w:val="00CB3A79"/>
    <w:rsid w:val="00CB7998"/>
    <w:rsid w:val="00CB7E2B"/>
    <w:rsid w:val="00CC251C"/>
    <w:rsid w:val="00CC31BF"/>
    <w:rsid w:val="00CC7E97"/>
    <w:rsid w:val="00CD000B"/>
    <w:rsid w:val="00CD0751"/>
    <w:rsid w:val="00CD1413"/>
    <w:rsid w:val="00CD15FE"/>
    <w:rsid w:val="00CD6781"/>
    <w:rsid w:val="00CD68BE"/>
    <w:rsid w:val="00CE0F22"/>
    <w:rsid w:val="00CE1F4A"/>
    <w:rsid w:val="00CE59E9"/>
    <w:rsid w:val="00CE733F"/>
    <w:rsid w:val="00CF087C"/>
    <w:rsid w:val="00CF0EAF"/>
    <w:rsid w:val="00CF11B1"/>
    <w:rsid w:val="00CF1984"/>
    <w:rsid w:val="00CF2644"/>
    <w:rsid w:val="00CF3E3C"/>
    <w:rsid w:val="00CF4048"/>
    <w:rsid w:val="00CF45A0"/>
    <w:rsid w:val="00CF549E"/>
    <w:rsid w:val="00CF62B5"/>
    <w:rsid w:val="00CF74A4"/>
    <w:rsid w:val="00D0113A"/>
    <w:rsid w:val="00D01BF2"/>
    <w:rsid w:val="00D02C00"/>
    <w:rsid w:val="00D03961"/>
    <w:rsid w:val="00D071F5"/>
    <w:rsid w:val="00D102A2"/>
    <w:rsid w:val="00D1435F"/>
    <w:rsid w:val="00D16C08"/>
    <w:rsid w:val="00D1721F"/>
    <w:rsid w:val="00D174B3"/>
    <w:rsid w:val="00D21213"/>
    <w:rsid w:val="00D21890"/>
    <w:rsid w:val="00D23230"/>
    <w:rsid w:val="00D234A8"/>
    <w:rsid w:val="00D234BE"/>
    <w:rsid w:val="00D2509A"/>
    <w:rsid w:val="00D261C9"/>
    <w:rsid w:val="00D316D0"/>
    <w:rsid w:val="00D31D06"/>
    <w:rsid w:val="00D32699"/>
    <w:rsid w:val="00D354A3"/>
    <w:rsid w:val="00D376E6"/>
    <w:rsid w:val="00D40467"/>
    <w:rsid w:val="00D41B04"/>
    <w:rsid w:val="00D4559E"/>
    <w:rsid w:val="00D4575A"/>
    <w:rsid w:val="00D5132B"/>
    <w:rsid w:val="00D51A99"/>
    <w:rsid w:val="00D53F15"/>
    <w:rsid w:val="00D56782"/>
    <w:rsid w:val="00D61DD8"/>
    <w:rsid w:val="00D62880"/>
    <w:rsid w:val="00D63D5C"/>
    <w:rsid w:val="00D65B8E"/>
    <w:rsid w:val="00D65BE1"/>
    <w:rsid w:val="00D664F7"/>
    <w:rsid w:val="00D7077C"/>
    <w:rsid w:val="00D81802"/>
    <w:rsid w:val="00D82602"/>
    <w:rsid w:val="00D86104"/>
    <w:rsid w:val="00D86C0A"/>
    <w:rsid w:val="00D8715D"/>
    <w:rsid w:val="00D91196"/>
    <w:rsid w:val="00D914F9"/>
    <w:rsid w:val="00D92660"/>
    <w:rsid w:val="00D92802"/>
    <w:rsid w:val="00D96DCB"/>
    <w:rsid w:val="00DA05E2"/>
    <w:rsid w:val="00DA2FE1"/>
    <w:rsid w:val="00DA5FDD"/>
    <w:rsid w:val="00DB0016"/>
    <w:rsid w:val="00DB5567"/>
    <w:rsid w:val="00DB5AA0"/>
    <w:rsid w:val="00DB5EFB"/>
    <w:rsid w:val="00DB6620"/>
    <w:rsid w:val="00DB73E8"/>
    <w:rsid w:val="00DC478F"/>
    <w:rsid w:val="00DD18E1"/>
    <w:rsid w:val="00DD2240"/>
    <w:rsid w:val="00DD3AE1"/>
    <w:rsid w:val="00DD3FD8"/>
    <w:rsid w:val="00DD4D6A"/>
    <w:rsid w:val="00DD6C02"/>
    <w:rsid w:val="00DD7751"/>
    <w:rsid w:val="00DD7B29"/>
    <w:rsid w:val="00DE0067"/>
    <w:rsid w:val="00DE126B"/>
    <w:rsid w:val="00DE5B76"/>
    <w:rsid w:val="00DE6CE1"/>
    <w:rsid w:val="00DF11E6"/>
    <w:rsid w:val="00DF172B"/>
    <w:rsid w:val="00DF1978"/>
    <w:rsid w:val="00DF2D3C"/>
    <w:rsid w:val="00DF7357"/>
    <w:rsid w:val="00E008E1"/>
    <w:rsid w:val="00E009F4"/>
    <w:rsid w:val="00E00B5D"/>
    <w:rsid w:val="00E01E89"/>
    <w:rsid w:val="00E03B3C"/>
    <w:rsid w:val="00E043EF"/>
    <w:rsid w:val="00E0558D"/>
    <w:rsid w:val="00E0736E"/>
    <w:rsid w:val="00E1184B"/>
    <w:rsid w:val="00E1305C"/>
    <w:rsid w:val="00E149D7"/>
    <w:rsid w:val="00E15634"/>
    <w:rsid w:val="00E15B59"/>
    <w:rsid w:val="00E16C28"/>
    <w:rsid w:val="00E16EAF"/>
    <w:rsid w:val="00E17FC4"/>
    <w:rsid w:val="00E2345C"/>
    <w:rsid w:val="00E2470C"/>
    <w:rsid w:val="00E27DFB"/>
    <w:rsid w:val="00E308CB"/>
    <w:rsid w:val="00E30A13"/>
    <w:rsid w:val="00E3145F"/>
    <w:rsid w:val="00E3296B"/>
    <w:rsid w:val="00E34616"/>
    <w:rsid w:val="00E36C74"/>
    <w:rsid w:val="00E41394"/>
    <w:rsid w:val="00E42841"/>
    <w:rsid w:val="00E42C5C"/>
    <w:rsid w:val="00E44B3D"/>
    <w:rsid w:val="00E52934"/>
    <w:rsid w:val="00E53C41"/>
    <w:rsid w:val="00E546EB"/>
    <w:rsid w:val="00E56E1B"/>
    <w:rsid w:val="00E6026D"/>
    <w:rsid w:val="00E63615"/>
    <w:rsid w:val="00E650E7"/>
    <w:rsid w:val="00E65E60"/>
    <w:rsid w:val="00E66265"/>
    <w:rsid w:val="00E711DD"/>
    <w:rsid w:val="00E72B15"/>
    <w:rsid w:val="00E73037"/>
    <w:rsid w:val="00E73148"/>
    <w:rsid w:val="00E744B0"/>
    <w:rsid w:val="00E823A7"/>
    <w:rsid w:val="00E83004"/>
    <w:rsid w:val="00E83428"/>
    <w:rsid w:val="00E86985"/>
    <w:rsid w:val="00E8710C"/>
    <w:rsid w:val="00E8735E"/>
    <w:rsid w:val="00E9023A"/>
    <w:rsid w:val="00E91267"/>
    <w:rsid w:val="00E960AB"/>
    <w:rsid w:val="00E96FDF"/>
    <w:rsid w:val="00E97D2C"/>
    <w:rsid w:val="00EA4069"/>
    <w:rsid w:val="00EA46AA"/>
    <w:rsid w:val="00EA531C"/>
    <w:rsid w:val="00EA7F25"/>
    <w:rsid w:val="00EB1617"/>
    <w:rsid w:val="00EB563E"/>
    <w:rsid w:val="00EC212E"/>
    <w:rsid w:val="00EC60CC"/>
    <w:rsid w:val="00EC669A"/>
    <w:rsid w:val="00ED2E46"/>
    <w:rsid w:val="00ED4926"/>
    <w:rsid w:val="00ED6D1B"/>
    <w:rsid w:val="00EE0062"/>
    <w:rsid w:val="00EE26D6"/>
    <w:rsid w:val="00EE2F4D"/>
    <w:rsid w:val="00EE50ED"/>
    <w:rsid w:val="00EE707F"/>
    <w:rsid w:val="00EF315E"/>
    <w:rsid w:val="00EF655F"/>
    <w:rsid w:val="00EF6586"/>
    <w:rsid w:val="00EF72A8"/>
    <w:rsid w:val="00F01882"/>
    <w:rsid w:val="00F0247F"/>
    <w:rsid w:val="00F0296B"/>
    <w:rsid w:val="00F0465F"/>
    <w:rsid w:val="00F0481A"/>
    <w:rsid w:val="00F06480"/>
    <w:rsid w:val="00F123AB"/>
    <w:rsid w:val="00F12EDB"/>
    <w:rsid w:val="00F167DF"/>
    <w:rsid w:val="00F179C9"/>
    <w:rsid w:val="00F2293E"/>
    <w:rsid w:val="00F249D6"/>
    <w:rsid w:val="00F26457"/>
    <w:rsid w:val="00F3046E"/>
    <w:rsid w:val="00F305BC"/>
    <w:rsid w:val="00F33AE5"/>
    <w:rsid w:val="00F34F54"/>
    <w:rsid w:val="00F36F95"/>
    <w:rsid w:val="00F37928"/>
    <w:rsid w:val="00F41B69"/>
    <w:rsid w:val="00F41E1C"/>
    <w:rsid w:val="00F423D6"/>
    <w:rsid w:val="00F42B99"/>
    <w:rsid w:val="00F44047"/>
    <w:rsid w:val="00F44C71"/>
    <w:rsid w:val="00F47F7D"/>
    <w:rsid w:val="00F51A6E"/>
    <w:rsid w:val="00F52ED9"/>
    <w:rsid w:val="00F5326C"/>
    <w:rsid w:val="00F543B3"/>
    <w:rsid w:val="00F54B87"/>
    <w:rsid w:val="00F55457"/>
    <w:rsid w:val="00F57470"/>
    <w:rsid w:val="00F578FF"/>
    <w:rsid w:val="00F60B1A"/>
    <w:rsid w:val="00F63368"/>
    <w:rsid w:val="00F6395B"/>
    <w:rsid w:val="00F6662E"/>
    <w:rsid w:val="00F671A9"/>
    <w:rsid w:val="00F71C8C"/>
    <w:rsid w:val="00F74237"/>
    <w:rsid w:val="00F753FC"/>
    <w:rsid w:val="00F81271"/>
    <w:rsid w:val="00F81463"/>
    <w:rsid w:val="00F81670"/>
    <w:rsid w:val="00F82D92"/>
    <w:rsid w:val="00F84623"/>
    <w:rsid w:val="00F8768C"/>
    <w:rsid w:val="00F87761"/>
    <w:rsid w:val="00F90AE0"/>
    <w:rsid w:val="00F9141B"/>
    <w:rsid w:val="00F91775"/>
    <w:rsid w:val="00F93423"/>
    <w:rsid w:val="00F95B05"/>
    <w:rsid w:val="00F96157"/>
    <w:rsid w:val="00FA0D7B"/>
    <w:rsid w:val="00FA5445"/>
    <w:rsid w:val="00FA589F"/>
    <w:rsid w:val="00FA6359"/>
    <w:rsid w:val="00FA6DC6"/>
    <w:rsid w:val="00FA7225"/>
    <w:rsid w:val="00FB0E15"/>
    <w:rsid w:val="00FB130E"/>
    <w:rsid w:val="00FB14E7"/>
    <w:rsid w:val="00FB4493"/>
    <w:rsid w:val="00FB5C2F"/>
    <w:rsid w:val="00FB6B3A"/>
    <w:rsid w:val="00FB6DC8"/>
    <w:rsid w:val="00FC07DE"/>
    <w:rsid w:val="00FC361E"/>
    <w:rsid w:val="00FC4004"/>
    <w:rsid w:val="00FC67C2"/>
    <w:rsid w:val="00FC6900"/>
    <w:rsid w:val="00FC6E52"/>
    <w:rsid w:val="00FC7A5E"/>
    <w:rsid w:val="00FD2C69"/>
    <w:rsid w:val="00FD47D7"/>
    <w:rsid w:val="00FD524A"/>
    <w:rsid w:val="00FD735E"/>
    <w:rsid w:val="00FE173D"/>
    <w:rsid w:val="00FE2960"/>
    <w:rsid w:val="00FE2B77"/>
    <w:rsid w:val="00FE3E0F"/>
    <w:rsid w:val="00FF0C1C"/>
    <w:rsid w:val="00FF1FF0"/>
    <w:rsid w:val="00FF264D"/>
    <w:rsid w:val="00FF3978"/>
    <w:rsid w:val="00FF7F7D"/>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4BF45"/>
  <w15:docId w15:val="{FD6311EF-B58F-4EA5-90EE-A6F38D9C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en-GB" w:eastAsia="en-GB" w:bidi="ar-SA"/>
      </w:rPr>
    </w:rPrDefault>
    <w:pPrDefault/>
  </w:docDefaults>
  <w:latentStyles w:defLockedState="0" w:defUIPriority="0" w:defSemiHidden="0" w:defUnhideWhenUsed="0" w:defQFormat="0" w:count="376">
    <w:lsdException w:name="Normal"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semiHidden="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1" w:uiPriority="99" w:qFormat="1"/>
    <w:lsdException w:name="Signature" w:uiPriority="99"/>
    <w:lsdException w:name="Default Paragraph Font" w:uiPriority="1"/>
    <w:lsdException w:name="Subtitle" w:semiHidden="1" w:uiPriority="99" w:qFormat="1"/>
    <w:lsdException w:name="Hyperlink" w:uiPriority="99"/>
    <w:lsdException w:name="FollowedHyperlink" w:uiPriority="99"/>
    <w:lsdException w:name="Strong" w:semiHidden="1" w:uiPriority="22" w:qFormat="1"/>
    <w:lsdException w:name="Emphasis" w:semiHidden="1" w:uiPriority="20" w:qFormat="1"/>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9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qFormat="1"/>
    <w:lsdException w:name="Intense Emphasis" w:semiHidden="1" w:uiPriority="99" w:qFormat="1"/>
    <w:lsdException w:name="Subtle Reference" w:semiHidden="1" w:uiPriority="99" w:qFormat="1"/>
    <w:lsdException w:name="Intense Reference" w:semiHidden="1" w:uiPriority="99" w:qFormat="1"/>
    <w:lsdException w:name="Book Title" w:semiHidden="1" w:uiPriority="99" w:qFormat="1"/>
    <w:lsdException w:name="Bibliography" w:semiHidden="1" w:uiPriority="99" w:unhideWhenUsed="1"/>
    <w:lsdException w:name="TOC Heading" w:semiHidden="1" w:uiPriority="9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34BD0"/>
    <w:rPr>
      <w:lang w:eastAsia="en-US"/>
    </w:rPr>
  </w:style>
  <w:style w:type="paragraph" w:styleId="Heading1">
    <w:name w:val="heading 1"/>
    <w:basedOn w:val="Normal"/>
    <w:next w:val="Normal"/>
    <w:link w:val="Heading1Char"/>
    <w:uiPriority w:val="9"/>
    <w:qFormat/>
    <w:rsid w:val="00885DD5"/>
    <w:pPr>
      <w:keepNext/>
      <w:keepLines/>
      <w:spacing w:before="480"/>
      <w:outlineLvl w:val="0"/>
    </w:pPr>
    <w:rPr>
      <w:rFonts w:asciiTheme="majorHAnsi" w:eastAsiaTheme="majorEastAsia" w:hAnsiTheme="majorHAnsi" w:cstheme="majorBidi"/>
      <w:b/>
      <w:bCs/>
      <w:color w:val="061722" w:themeColor="accent1" w:themeShade="BF"/>
      <w:sz w:val="28"/>
      <w:szCs w:val="28"/>
    </w:rPr>
  </w:style>
  <w:style w:type="paragraph" w:styleId="Heading2">
    <w:name w:val="heading 2"/>
    <w:basedOn w:val="Normal"/>
    <w:next w:val="Normal"/>
    <w:link w:val="Heading2Char"/>
    <w:uiPriority w:val="9"/>
    <w:qFormat/>
    <w:rsid w:val="00885DD5"/>
    <w:pPr>
      <w:keepNext/>
      <w:keepLines/>
      <w:spacing w:before="200"/>
      <w:outlineLvl w:val="1"/>
    </w:pPr>
    <w:rPr>
      <w:rFonts w:asciiTheme="majorHAnsi" w:eastAsiaTheme="majorEastAsia" w:hAnsiTheme="majorHAnsi" w:cstheme="majorBidi"/>
      <w:b/>
      <w:bCs/>
      <w:color w:val="09202E" w:themeColor="accent1"/>
      <w:sz w:val="26"/>
      <w:szCs w:val="26"/>
    </w:rPr>
  </w:style>
  <w:style w:type="paragraph" w:styleId="Heading3">
    <w:name w:val="heading 3"/>
    <w:basedOn w:val="Normal"/>
    <w:next w:val="Normal"/>
    <w:link w:val="Heading3Char"/>
    <w:uiPriority w:val="9"/>
    <w:qFormat/>
    <w:rsid w:val="00885DD5"/>
    <w:pPr>
      <w:keepNext/>
      <w:keepLines/>
      <w:spacing w:before="200"/>
      <w:outlineLvl w:val="2"/>
    </w:pPr>
    <w:rPr>
      <w:rFonts w:asciiTheme="majorHAnsi" w:eastAsiaTheme="majorEastAsia" w:hAnsiTheme="majorHAnsi" w:cstheme="majorBidi"/>
      <w:b/>
      <w:bCs/>
      <w:color w:val="09202E" w:themeColor="accent1"/>
    </w:rPr>
  </w:style>
  <w:style w:type="paragraph" w:styleId="Heading4">
    <w:name w:val="heading 4"/>
    <w:basedOn w:val="Normal"/>
    <w:next w:val="Normal"/>
    <w:link w:val="Heading4Char"/>
    <w:uiPriority w:val="9"/>
    <w:qFormat/>
    <w:rsid w:val="0019228C"/>
    <w:pPr>
      <w:keepNext/>
      <w:keepLines/>
      <w:spacing w:before="200"/>
      <w:outlineLvl w:val="3"/>
    </w:pPr>
    <w:rPr>
      <w:rFonts w:asciiTheme="majorHAnsi" w:eastAsiaTheme="majorEastAsia" w:hAnsiTheme="majorHAnsi" w:cstheme="majorBidi"/>
      <w:b/>
      <w:bCs/>
      <w:i/>
      <w:iCs/>
      <w:color w:val="09202E" w:themeColor="accent1"/>
    </w:rPr>
  </w:style>
  <w:style w:type="paragraph" w:styleId="Heading5">
    <w:name w:val="heading 5"/>
    <w:basedOn w:val="Normal"/>
    <w:next w:val="Normal"/>
    <w:link w:val="Heading5Char"/>
    <w:uiPriority w:val="9"/>
    <w:qFormat/>
    <w:rsid w:val="0019228C"/>
    <w:pPr>
      <w:keepNext/>
      <w:keepLines/>
      <w:spacing w:before="200"/>
      <w:outlineLvl w:val="4"/>
    </w:pPr>
    <w:rPr>
      <w:rFonts w:asciiTheme="majorHAnsi" w:eastAsiaTheme="majorEastAsia" w:hAnsiTheme="majorHAnsi" w:cstheme="majorBidi"/>
      <w:color w:val="040F16" w:themeColor="accent1" w:themeShade="7F"/>
    </w:rPr>
  </w:style>
  <w:style w:type="paragraph" w:styleId="Heading6">
    <w:name w:val="heading 6"/>
    <w:basedOn w:val="Normal"/>
    <w:next w:val="Normal"/>
    <w:link w:val="Heading6Char"/>
    <w:uiPriority w:val="9"/>
    <w:qFormat/>
    <w:rsid w:val="0019228C"/>
    <w:pPr>
      <w:keepNext/>
      <w:keepLines/>
      <w:spacing w:before="200"/>
      <w:outlineLvl w:val="5"/>
    </w:pPr>
    <w:rPr>
      <w:rFonts w:asciiTheme="majorHAnsi" w:eastAsiaTheme="majorEastAsia" w:hAnsiTheme="majorHAnsi" w:cstheme="majorBidi"/>
      <w:i/>
      <w:iCs/>
      <w:color w:val="040F16" w:themeColor="accent1" w:themeShade="7F"/>
    </w:rPr>
  </w:style>
  <w:style w:type="paragraph" w:styleId="Heading7">
    <w:name w:val="heading 7"/>
    <w:basedOn w:val="Normal"/>
    <w:next w:val="Normal"/>
    <w:link w:val="Heading7Char"/>
    <w:uiPriority w:val="9"/>
    <w:qFormat/>
    <w:rsid w:val="001922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19228C"/>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qFormat/>
    <w:rsid w:val="0019228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TAppendixText1">
    <w:name w:val="TLT Appendix Text 1"/>
    <w:basedOn w:val="Normal"/>
    <w:next w:val="TLTBodyText1"/>
    <w:uiPriority w:val="99"/>
    <w:rsid w:val="00D34BD0"/>
    <w:pPr>
      <w:numPr>
        <w:numId w:val="10"/>
      </w:numPr>
      <w:spacing w:before="400" w:after="200"/>
    </w:pPr>
    <w:rPr>
      <w:rFonts w:eastAsia="Times New Roman" w:cs="Times New Roman"/>
      <w:b/>
      <w:szCs w:val="24"/>
      <w:lang w:eastAsia="en-GB"/>
    </w:rPr>
  </w:style>
  <w:style w:type="character" w:styleId="CommentReference">
    <w:name w:val="annotation reference"/>
    <w:basedOn w:val="DefaultParagraphFont"/>
    <w:uiPriority w:val="99"/>
    <w:rsid w:val="00C30AD2"/>
    <w:rPr>
      <w:sz w:val="16"/>
      <w:szCs w:val="16"/>
    </w:rPr>
  </w:style>
  <w:style w:type="paragraph" w:styleId="CommentText">
    <w:name w:val="annotation text"/>
    <w:basedOn w:val="Normal"/>
    <w:link w:val="CommentTextChar"/>
    <w:uiPriority w:val="99"/>
    <w:rsid w:val="00C30AD2"/>
  </w:style>
  <w:style w:type="paragraph" w:customStyle="1" w:styleId="TLTAppendixText2">
    <w:name w:val="TLT Appendix Text 2"/>
    <w:basedOn w:val="TLTAppendixText1"/>
    <w:next w:val="TLTBodyText2"/>
    <w:uiPriority w:val="99"/>
    <w:rsid w:val="00D34BD0"/>
    <w:pPr>
      <w:numPr>
        <w:ilvl w:val="1"/>
      </w:numPr>
      <w:spacing w:before="100"/>
    </w:pPr>
    <w:rPr>
      <w:b w:val="0"/>
    </w:rPr>
  </w:style>
  <w:style w:type="paragraph" w:customStyle="1" w:styleId="TLTBlankDocumentTitle">
    <w:name w:val="TLT Blank Document Title"/>
    <w:basedOn w:val="Normal"/>
    <w:next w:val="TLTBodyText"/>
    <w:rsid w:val="00D34BD0"/>
    <w:pPr>
      <w:spacing w:after="200"/>
      <w:jc w:val="center"/>
    </w:pPr>
    <w:rPr>
      <w:rFonts w:eastAsia="Times New Roman" w:cs="Times New Roman"/>
      <w:b/>
      <w:szCs w:val="24"/>
      <w:lang w:eastAsia="en-GB"/>
    </w:rPr>
  </w:style>
  <w:style w:type="paragraph" w:customStyle="1" w:styleId="TLTAppendixText3">
    <w:name w:val="TLT Appendix Text 3"/>
    <w:basedOn w:val="TLTLevel3"/>
    <w:next w:val="TLTBodyText3"/>
    <w:rsid w:val="00D34BD0"/>
    <w:pPr>
      <w:numPr>
        <w:numId w:val="10"/>
      </w:numPr>
    </w:pPr>
  </w:style>
  <w:style w:type="paragraph" w:customStyle="1" w:styleId="TLTAppendixText4">
    <w:name w:val="TLT Appendix Text 4"/>
    <w:basedOn w:val="TLTLevel4"/>
    <w:next w:val="TLTBodyText4"/>
    <w:rsid w:val="00D34BD0"/>
    <w:pPr>
      <w:numPr>
        <w:numId w:val="10"/>
      </w:numPr>
    </w:pPr>
  </w:style>
  <w:style w:type="paragraph" w:customStyle="1" w:styleId="TLTAppendixText5">
    <w:name w:val="TLT Appendix Text 5"/>
    <w:basedOn w:val="TLTLevel5"/>
    <w:next w:val="TLTBodyText5"/>
    <w:rsid w:val="00D34BD0"/>
    <w:pPr>
      <w:numPr>
        <w:numId w:val="10"/>
      </w:numPr>
    </w:pPr>
  </w:style>
  <w:style w:type="paragraph" w:customStyle="1" w:styleId="TLTLevel1">
    <w:name w:val="TLT Level 1"/>
    <w:basedOn w:val="TLTBodyText"/>
    <w:next w:val="TLTBodyText1"/>
    <w:uiPriority w:val="99"/>
    <w:qFormat/>
    <w:rsid w:val="00A167AD"/>
    <w:pPr>
      <w:keepNext/>
      <w:numPr>
        <w:numId w:val="5"/>
      </w:numPr>
      <w:tabs>
        <w:tab w:val="left" w:pos="720"/>
      </w:tabs>
      <w:spacing w:before="400"/>
    </w:pPr>
    <w:rPr>
      <w:b/>
    </w:rPr>
  </w:style>
  <w:style w:type="paragraph" w:customStyle="1" w:styleId="TLTLevel1Bold">
    <w:name w:val="TLT Level 1 Bold"/>
    <w:basedOn w:val="TLTLevel1"/>
    <w:next w:val="TLTLevel2"/>
    <w:qFormat/>
    <w:rsid w:val="00D34BD0"/>
    <w:rPr>
      <w:b w:val="0"/>
    </w:rPr>
  </w:style>
  <w:style w:type="character" w:customStyle="1" w:styleId="CommentTextChar">
    <w:name w:val="Comment Text Char"/>
    <w:basedOn w:val="DefaultParagraphFont"/>
    <w:link w:val="CommentText"/>
    <w:uiPriority w:val="99"/>
    <w:rsid w:val="00C30AD2"/>
    <w:rPr>
      <w:lang w:eastAsia="en-US"/>
    </w:rPr>
  </w:style>
  <w:style w:type="paragraph" w:styleId="CommentSubject">
    <w:name w:val="annotation subject"/>
    <w:basedOn w:val="CommentText"/>
    <w:next w:val="CommentText"/>
    <w:link w:val="CommentSubjectChar"/>
    <w:rsid w:val="00C30AD2"/>
    <w:rPr>
      <w:b/>
      <w:bCs/>
    </w:rPr>
  </w:style>
  <w:style w:type="paragraph" w:customStyle="1" w:styleId="TLTAction">
    <w:name w:val="TLT Action"/>
    <w:basedOn w:val="Normal"/>
    <w:next w:val="TLTBodyText"/>
    <w:rsid w:val="00D34BD0"/>
    <w:pPr>
      <w:spacing w:before="100"/>
      <w:jc w:val="right"/>
    </w:pPr>
    <w:rPr>
      <w:rFonts w:eastAsia="Times New Roman" w:cs="Times New Roman"/>
      <w:b/>
      <w:szCs w:val="24"/>
      <w:lang w:eastAsia="en-GB"/>
    </w:rPr>
  </w:style>
  <w:style w:type="paragraph" w:customStyle="1" w:styleId="TLTAdditional">
    <w:name w:val="TLT Additional"/>
    <w:basedOn w:val="Normal"/>
    <w:rsid w:val="00D34BD0"/>
    <w:pPr>
      <w:spacing w:before="300" w:after="300"/>
    </w:pPr>
    <w:rPr>
      <w:rFonts w:eastAsia="Times New Roman" w:cs="Times New Roman"/>
      <w:b/>
      <w:szCs w:val="24"/>
      <w:lang w:eastAsia="en-GB"/>
    </w:rPr>
  </w:style>
  <w:style w:type="paragraph" w:customStyle="1" w:styleId="TLTAppendixHeading">
    <w:name w:val="TLT Appendix Heading"/>
    <w:basedOn w:val="Normal"/>
    <w:next w:val="TLTAppendixSubHeading"/>
    <w:rsid w:val="00D34BD0"/>
    <w:pPr>
      <w:numPr>
        <w:numId w:val="9"/>
      </w:numPr>
      <w:spacing w:before="100" w:after="300"/>
    </w:pPr>
    <w:rPr>
      <w:rFonts w:eastAsia="Times New Roman" w:cs="Times New Roman"/>
      <w:b/>
      <w:szCs w:val="24"/>
      <w:lang w:eastAsia="en-GB"/>
    </w:rPr>
  </w:style>
  <w:style w:type="paragraph" w:customStyle="1" w:styleId="TLTAppendixSubHeading">
    <w:name w:val="TLT Appendix Sub Heading"/>
    <w:basedOn w:val="Normal"/>
    <w:next w:val="TLTBodyText"/>
    <w:rsid w:val="00D34BD0"/>
    <w:pPr>
      <w:spacing w:before="100" w:after="300"/>
      <w:jc w:val="center"/>
    </w:pPr>
    <w:rPr>
      <w:rFonts w:eastAsia="Times New Roman" w:cs="Times New Roman"/>
      <w:b/>
      <w:szCs w:val="24"/>
      <w:lang w:eastAsia="en-GB"/>
    </w:rPr>
  </w:style>
  <w:style w:type="paragraph" w:customStyle="1" w:styleId="TLTBodyText">
    <w:name w:val="TLT Body Text"/>
    <w:basedOn w:val="Normal"/>
    <w:link w:val="TLTBodyTextChar"/>
    <w:uiPriority w:val="99"/>
    <w:qFormat/>
    <w:rsid w:val="00D34BD0"/>
    <w:pPr>
      <w:spacing w:before="100" w:after="200"/>
    </w:pPr>
    <w:rPr>
      <w:rFonts w:eastAsia="Times New Roman" w:cs="Times New Roman"/>
      <w:szCs w:val="24"/>
      <w:lang w:eastAsia="en-GB"/>
    </w:rPr>
  </w:style>
  <w:style w:type="paragraph" w:customStyle="1" w:styleId="TLTBodyText1">
    <w:name w:val="TLT Body Text 1"/>
    <w:basedOn w:val="TLTBodyText"/>
    <w:link w:val="TLTBodyText1Char"/>
    <w:uiPriority w:val="99"/>
    <w:rsid w:val="00D34BD0"/>
    <w:pPr>
      <w:ind w:left="720"/>
    </w:pPr>
  </w:style>
  <w:style w:type="paragraph" w:customStyle="1" w:styleId="TLTBodyText2">
    <w:name w:val="TLT Body Text 2"/>
    <w:basedOn w:val="TLTBodyText1"/>
    <w:link w:val="TLTBodyText2Char"/>
    <w:uiPriority w:val="99"/>
    <w:rsid w:val="00D34BD0"/>
  </w:style>
  <w:style w:type="paragraph" w:customStyle="1" w:styleId="TLTBodyText3">
    <w:name w:val="TLT Body Text 3"/>
    <w:basedOn w:val="TLTBodyText2"/>
    <w:rsid w:val="00D34BD0"/>
    <w:pPr>
      <w:ind w:left="1803"/>
    </w:pPr>
  </w:style>
  <w:style w:type="paragraph" w:customStyle="1" w:styleId="TLTBodyText4">
    <w:name w:val="TLT Body Text 4"/>
    <w:basedOn w:val="TLTBodyText3"/>
    <w:rsid w:val="00D34BD0"/>
  </w:style>
  <w:style w:type="paragraph" w:customStyle="1" w:styleId="TLTBodyText5">
    <w:name w:val="TLT Body Text 5"/>
    <w:basedOn w:val="TLTBodyText4"/>
    <w:uiPriority w:val="99"/>
    <w:rsid w:val="00D34BD0"/>
    <w:pPr>
      <w:ind w:left="2523"/>
    </w:pPr>
  </w:style>
  <w:style w:type="paragraph" w:customStyle="1" w:styleId="TLTBodyTextBold">
    <w:name w:val="TLT Body Text Bold"/>
    <w:basedOn w:val="Normal"/>
    <w:next w:val="TLTBodyText"/>
    <w:link w:val="TLTBodyTextBoldChar"/>
    <w:qFormat/>
    <w:rsid w:val="00D34BD0"/>
    <w:pPr>
      <w:spacing w:before="100" w:after="200"/>
    </w:pPr>
    <w:rPr>
      <w:rFonts w:eastAsia="Times New Roman" w:cs="Times New Roman"/>
      <w:b/>
      <w:szCs w:val="24"/>
      <w:lang w:eastAsia="en-GB"/>
    </w:rPr>
  </w:style>
  <w:style w:type="paragraph" w:customStyle="1" w:styleId="TLTCentered">
    <w:name w:val="TLT Centered"/>
    <w:basedOn w:val="Normal"/>
    <w:next w:val="TLTBodyText"/>
    <w:rsid w:val="00D34BD0"/>
    <w:pPr>
      <w:spacing w:before="100" w:after="200"/>
      <w:jc w:val="center"/>
    </w:pPr>
    <w:rPr>
      <w:rFonts w:eastAsia="Times New Roman" w:cs="Times New Roman"/>
      <w:szCs w:val="24"/>
      <w:lang w:eastAsia="en-GB"/>
    </w:rPr>
  </w:style>
  <w:style w:type="paragraph" w:customStyle="1" w:styleId="TLTCentre">
    <w:name w:val="TLT Centre"/>
    <w:basedOn w:val="Normal"/>
    <w:next w:val="TLTCourtParties"/>
    <w:rsid w:val="00D34BD0"/>
    <w:pPr>
      <w:spacing w:before="100" w:after="600"/>
      <w:jc w:val="center"/>
    </w:pPr>
    <w:rPr>
      <w:rFonts w:eastAsia="Times New Roman" w:cs="Times New Roman"/>
      <w:szCs w:val="24"/>
      <w:lang w:eastAsia="en-GB"/>
    </w:rPr>
  </w:style>
  <w:style w:type="paragraph" w:customStyle="1" w:styleId="TLTCentreBack">
    <w:name w:val="TLT Centre Back"/>
    <w:basedOn w:val="Normal"/>
    <w:next w:val="TLTCourtPartiesBack"/>
    <w:rsid w:val="00D34BD0"/>
    <w:pPr>
      <w:spacing w:before="100" w:after="600"/>
    </w:pPr>
    <w:rPr>
      <w:rFonts w:eastAsia="Times New Roman" w:cs="Times New Roman"/>
      <w:szCs w:val="24"/>
      <w:lang w:eastAsia="en-GB"/>
    </w:rPr>
  </w:style>
  <w:style w:type="paragraph" w:customStyle="1" w:styleId="TLTContentsHeading">
    <w:name w:val="TLT Contents Heading"/>
    <w:basedOn w:val="Normal"/>
    <w:next w:val="TLTContentsSubHeading"/>
    <w:rsid w:val="00D34BD0"/>
    <w:pPr>
      <w:spacing w:before="100" w:after="200"/>
      <w:jc w:val="center"/>
    </w:pPr>
    <w:rPr>
      <w:rFonts w:eastAsia="Times New Roman" w:cs="Times New Roman"/>
      <w:b/>
      <w:szCs w:val="24"/>
      <w:lang w:eastAsia="en-GB"/>
    </w:rPr>
  </w:style>
  <w:style w:type="paragraph" w:customStyle="1" w:styleId="TLTContentsSubHeading">
    <w:name w:val="TLT Contents Sub Heading"/>
    <w:basedOn w:val="Normal"/>
    <w:next w:val="TLTBodyText"/>
    <w:rsid w:val="00D34BD0"/>
    <w:pPr>
      <w:spacing w:before="400" w:after="200"/>
    </w:pPr>
    <w:rPr>
      <w:rFonts w:eastAsia="Times New Roman" w:cs="Times New Roman"/>
      <w:b/>
      <w:szCs w:val="24"/>
      <w:lang w:eastAsia="en-GB"/>
    </w:rPr>
  </w:style>
  <w:style w:type="paragraph" w:customStyle="1" w:styleId="TLTCourtDetails">
    <w:name w:val="TLT Court Details"/>
    <w:basedOn w:val="Normal"/>
    <w:rsid w:val="00D34BD0"/>
    <w:pPr>
      <w:spacing w:before="100" w:after="200"/>
    </w:pPr>
    <w:rPr>
      <w:rFonts w:eastAsia="Times New Roman" w:cs="Times New Roman"/>
      <w:b/>
      <w:caps/>
      <w:szCs w:val="24"/>
      <w:lang w:eastAsia="en-GB"/>
    </w:rPr>
  </w:style>
  <w:style w:type="paragraph" w:customStyle="1" w:styleId="TLTCourtHeading">
    <w:name w:val="TLT Court Heading"/>
    <w:basedOn w:val="Normal"/>
    <w:rsid w:val="00D34BD0"/>
    <w:pPr>
      <w:spacing w:before="100" w:after="200"/>
      <w:jc w:val="center"/>
    </w:pPr>
    <w:rPr>
      <w:rFonts w:eastAsia="Times New Roman" w:cs="Times New Roman"/>
      <w:b/>
      <w:caps/>
      <w:szCs w:val="24"/>
      <w:lang w:eastAsia="en-GB"/>
    </w:rPr>
  </w:style>
  <w:style w:type="paragraph" w:customStyle="1" w:styleId="TLTCourtParties">
    <w:name w:val="TLT Court Parties"/>
    <w:basedOn w:val="Normal"/>
    <w:next w:val="TLTLitigant"/>
    <w:rsid w:val="00D34BD0"/>
    <w:pPr>
      <w:spacing w:before="100" w:after="200"/>
      <w:jc w:val="center"/>
    </w:pPr>
    <w:rPr>
      <w:rFonts w:eastAsia="Times New Roman" w:cs="Times New Roman"/>
      <w:b/>
      <w:caps/>
      <w:szCs w:val="24"/>
      <w:lang w:eastAsia="en-GB"/>
    </w:rPr>
  </w:style>
  <w:style w:type="paragraph" w:customStyle="1" w:styleId="TLTCourtPartiesBack">
    <w:name w:val="TLT Court Parties Back"/>
    <w:basedOn w:val="Normal"/>
    <w:next w:val="TLTLitigant"/>
    <w:rsid w:val="00D34BD0"/>
    <w:pPr>
      <w:spacing w:before="100" w:after="200"/>
    </w:pPr>
    <w:rPr>
      <w:rFonts w:eastAsia="Times New Roman" w:cs="Times New Roman"/>
      <w:b/>
      <w:caps/>
      <w:szCs w:val="24"/>
      <w:lang w:eastAsia="en-GB"/>
    </w:rPr>
  </w:style>
  <w:style w:type="paragraph" w:customStyle="1" w:styleId="TLTCourtReference">
    <w:name w:val="TLT Court Reference"/>
    <w:basedOn w:val="Normal"/>
    <w:next w:val="TLTCourtDetails"/>
    <w:rsid w:val="00D34BD0"/>
    <w:pPr>
      <w:spacing w:before="100" w:after="200"/>
      <w:jc w:val="right"/>
    </w:pPr>
    <w:rPr>
      <w:rFonts w:eastAsia="Times New Roman" w:cs="Times New Roman"/>
      <w:b/>
      <w:caps/>
      <w:szCs w:val="24"/>
      <w:lang w:eastAsia="en-GB"/>
    </w:rPr>
  </w:style>
  <w:style w:type="paragraph" w:customStyle="1" w:styleId="TLTCoverDetails">
    <w:name w:val="TLT Cover Details"/>
    <w:basedOn w:val="Normal"/>
    <w:rsid w:val="00D34BD0"/>
    <w:pPr>
      <w:tabs>
        <w:tab w:val="left" w:pos="3612"/>
      </w:tabs>
      <w:spacing w:before="100" w:after="200"/>
    </w:pPr>
    <w:rPr>
      <w:rFonts w:eastAsia="Times New Roman" w:cs="Times New Roman"/>
      <w:szCs w:val="24"/>
      <w:lang w:eastAsia="en-GB"/>
    </w:rPr>
  </w:style>
  <w:style w:type="paragraph" w:customStyle="1" w:styleId="TLTDefinitionList">
    <w:name w:val="TLT Definition List"/>
    <w:basedOn w:val="Normal"/>
    <w:uiPriority w:val="99"/>
    <w:rsid w:val="00D34BD0"/>
    <w:pPr>
      <w:numPr>
        <w:numId w:val="6"/>
      </w:numPr>
      <w:spacing w:before="100" w:after="200"/>
    </w:pPr>
    <w:rPr>
      <w:rFonts w:eastAsia="Times New Roman" w:cs="Times New Roman"/>
      <w:szCs w:val="24"/>
      <w:lang w:eastAsia="en-GB"/>
    </w:rPr>
  </w:style>
  <w:style w:type="paragraph" w:customStyle="1" w:styleId="TLTDelivery">
    <w:name w:val="TLT Delivery"/>
    <w:basedOn w:val="Normal"/>
    <w:rsid w:val="00D34BD0"/>
    <w:pPr>
      <w:spacing w:before="600" w:after="400"/>
    </w:pPr>
    <w:rPr>
      <w:rFonts w:eastAsia="Times New Roman" w:cs="Times New Roman"/>
      <w:b/>
      <w:szCs w:val="24"/>
      <w:lang w:eastAsia="en-GB"/>
    </w:rPr>
  </w:style>
  <w:style w:type="paragraph" w:customStyle="1" w:styleId="TLTDetails">
    <w:name w:val="TLT Details"/>
    <w:basedOn w:val="Normal"/>
    <w:rsid w:val="00D34BD0"/>
    <w:pPr>
      <w:spacing w:line="300" w:lineRule="exact"/>
    </w:pPr>
    <w:rPr>
      <w:rFonts w:eastAsia="Times New Roman" w:cs="Times New Roman"/>
      <w:szCs w:val="24"/>
      <w:lang w:eastAsia="en-GB"/>
    </w:rPr>
  </w:style>
  <w:style w:type="paragraph" w:customStyle="1" w:styleId="TLTDocRef">
    <w:name w:val="TLT Doc Ref"/>
    <w:basedOn w:val="Normal"/>
    <w:rsid w:val="00D34BD0"/>
    <w:rPr>
      <w:rFonts w:eastAsia="Times New Roman" w:cs="Times New Roman"/>
      <w:sz w:val="12"/>
      <w:szCs w:val="24"/>
      <w:lang w:eastAsia="en-GB"/>
    </w:rPr>
  </w:style>
  <w:style w:type="paragraph" w:customStyle="1" w:styleId="TLTEnc">
    <w:name w:val="TLT Enc"/>
    <w:basedOn w:val="Normal"/>
    <w:rsid w:val="00D34BD0"/>
    <w:pPr>
      <w:tabs>
        <w:tab w:val="left" w:pos="720"/>
      </w:tabs>
    </w:pPr>
    <w:rPr>
      <w:rFonts w:eastAsia="Times New Roman" w:cs="Times New Roman"/>
      <w:szCs w:val="24"/>
      <w:lang w:eastAsia="en-GB"/>
    </w:rPr>
  </w:style>
  <w:style w:type="paragraph" w:customStyle="1" w:styleId="TLTExecution">
    <w:name w:val="TLT Execution"/>
    <w:basedOn w:val="Normal"/>
    <w:rsid w:val="00D34BD0"/>
    <w:pPr>
      <w:spacing w:before="100" w:after="200"/>
    </w:pPr>
    <w:rPr>
      <w:rFonts w:eastAsia="Times New Roman" w:cs="Times New Roman"/>
      <w:sz w:val="16"/>
      <w:szCs w:val="24"/>
      <w:lang w:eastAsia="en-GB"/>
    </w:rPr>
  </w:style>
  <w:style w:type="paragraph" w:customStyle="1" w:styleId="TLTFaxStatus">
    <w:name w:val="TLT Fax Status"/>
    <w:basedOn w:val="Normal"/>
    <w:rsid w:val="00D34BD0"/>
    <w:pPr>
      <w:spacing w:before="200"/>
    </w:pPr>
    <w:rPr>
      <w:rFonts w:eastAsia="Times New Roman" w:cs="Times New Roman"/>
      <w:b/>
      <w:szCs w:val="24"/>
      <w:lang w:eastAsia="en-GB"/>
    </w:rPr>
  </w:style>
  <w:style w:type="paragraph" w:customStyle="1" w:styleId="TLTFaxSubject">
    <w:name w:val="TLT Fax Subject"/>
    <w:basedOn w:val="Normal"/>
    <w:rsid w:val="00D34BD0"/>
    <w:pPr>
      <w:spacing w:before="200"/>
    </w:pPr>
    <w:rPr>
      <w:rFonts w:eastAsia="Times New Roman" w:cs="Times New Roman"/>
      <w:b/>
      <w:szCs w:val="24"/>
      <w:lang w:eastAsia="en-GB"/>
    </w:rPr>
  </w:style>
  <w:style w:type="paragraph" w:customStyle="1" w:styleId="TLTHeading1">
    <w:name w:val="TLT Heading 1"/>
    <w:basedOn w:val="Normal"/>
    <w:next w:val="TLTBodyText"/>
    <w:rsid w:val="00D34BD0"/>
    <w:pPr>
      <w:keepNext/>
      <w:spacing w:before="300" w:after="100"/>
    </w:pPr>
    <w:rPr>
      <w:rFonts w:eastAsia="Times New Roman" w:cs="Times New Roman"/>
      <w:b/>
      <w:szCs w:val="24"/>
      <w:lang w:eastAsia="en-GB"/>
    </w:rPr>
  </w:style>
  <w:style w:type="paragraph" w:customStyle="1" w:styleId="TLTHeading2">
    <w:name w:val="TLT Heading 2"/>
    <w:basedOn w:val="Normal"/>
    <w:next w:val="TLTBodyText"/>
    <w:uiPriority w:val="99"/>
    <w:qFormat/>
    <w:rsid w:val="005022A6"/>
    <w:pPr>
      <w:keepNext/>
      <w:spacing w:before="100" w:after="200"/>
    </w:pPr>
    <w:rPr>
      <w:rFonts w:eastAsia="Times New Roman" w:cs="Times New Roman"/>
      <w:b/>
      <w:szCs w:val="24"/>
      <w:lang w:eastAsia="en-GB"/>
    </w:rPr>
  </w:style>
  <w:style w:type="paragraph" w:customStyle="1" w:styleId="TLTLegalReportHeading">
    <w:name w:val="TLT Legal Report Heading"/>
    <w:basedOn w:val="Normal"/>
    <w:next w:val="TLTBodyText"/>
    <w:rsid w:val="00D34BD0"/>
    <w:pPr>
      <w:spacing w:before="100" w:after="200"/>
      <w:jc w:val="center"/>
    </w:pPr>
    <w:rPr>
      <w:rFonts w:eastAsia="Times New Roman" w:cs="Times New Roman"/>
      <w:b/>
      <w:szCs w:val="24"/>
      <w:lang w:eastAsia="en-GB"/>
    </w:rPr>
  </w:style>
  <w:style w:type="paragraph" w:customStyle="1" w:styleId="TLTLetterTitle">
    <w:name w:val="TLT Letter Title"/>
    <w:basedOn w:val="Normal"/>
    <w:next w:val="TLTBodyText"/>
    <w:rsid w:val="00F671A9"/>
    <w:pPr>
      <w:spacing w:before="100" w:after="200"/>
      <w:jc w:val="center"/>
    </w:pPr>
    <w:rPr>
      <w:rFonts w:eastAsia="Times New Roman" w:cs="Times New Roman"/>
      <w:b/>
      <w:szCs w:val="24"/>
      <w:lang w:eastAsia="en-GB"/>
    </w:rPr>
  </w:style>
  <w:style w:type="paragraph" w:customStyle="1" w:styleId="TLTLevel2">
    <w:name w:val="TLT Level 2"/>
    <w:basedOn w:val="TLTLevel1"/>
    <w:next w:val="TLTBodyText2"/>
    <w:link w:val="TLTLevel2CharChar"/>
    <w:uiPriority w:val="99"/>
    <w:rsid w:val="00A167AD"/>
    <w:pPr>
      <w:keepNext w:val="0"/>
      <w:numPr>
        <w:ilvl w:val="1"/>
      </w:numPr>
      <w:spacing w:before="100"/>
    </w:pPr>
    <w:rPr>
      <w:b w:val="0"/>
    </w:rPr>
  </w:style>
  <w:style w:type="paragraph" w:customStyle="1" w:styleId="TLTLevel3">
    <w:name w:val="TLT Level 3"/>
    <w:basedOn w:val="TLTLevel2"/>
    <w:next w:val="TLTBodyText3"/>
    <w:link w:val="TLTLevel3Char"/>
    <w:uiPriority w:val="99"/>
    <w:rsid w:val="00D34BD0"/>
    <w:pPr>
      <w:numPr>
        <w:ilvl w:val="2"/>
      </w:numPr>
      <w:tabs>
        <w:tab w:val="left" w:pos="1803"/>
      </w:tabs>
    </w:pPr>
  </w:style>
  <w:style w:type="character" w:customStyle="1" w:styleId="CommentSubjectChar">
    <w:name w:val="Comment Subject Char"/>
    <w:basedOn w:val="CommentTextChar"/>
    <w:link w:val="CommentSubject"/>
    <w:rsid w:val="00C30AD2"/>
    <w:rPr>
      <w:b/>
      <w:bCs/>
      <w:lang w:eastAsia="en-US"/>
    </w:rPr>
  </w:style>
  <w:style w:type="paragraph" w:customStyle="1" w:styleId="TLTLevel4">
    <w:name w:val="TLT Level 4"/>
    <w:basedOn w:val="TLTLevel3"/>
    <w:next w:val="TLTBodyText4"/>
    <w:uiPriority w:val="99"/>
    <w:rsid w:val="00D34BD0"/>
    <w:pPr>
      <w:numPr>
        <w:ilvl w:val="3"/>
      </w:numPr>
    </w:pPr>
  </w:style>
  <w:style w:type="paragraph" w:customStyle="1" w:styleId="TLTLevel5">
    <w:name w:val="TLT Level 5"/>
    <w:basedOn w:val="TLTLevel4"/>
    <w:next w:val="TLTBodyText5"/>
    <w:uiPriority w:val="99"/>
    <w:rsid w:val="00D34BD0"/>
    <w:pPr>
      <w:numPr>
        <w:ilvl w:val="4"/>
      </w:numPr>
      <w:tabs>
        <w:tab w:val="left" w:pos="2523"/>
      </w:tabs>
    </w:pPr>
  </w:style>
  <w:style w:type="paragraph" w:customStyle="1" w:styleId="TLTAddress">
    <w:name w:val="TLT Address"/>
    <w:basedOn w:val="Normal"/>
    <w:rsid w:val="00D34BD0"/>
    <w:rPr>
      <w:rFonts w:eastAsia="Times New Roman" w:cs="Times New Roman"/>
      <w:szCs w:val="24"/>
      <w:lang w:eastAsia="en-GB"/>
    </w:rPr>
  </w:style>
  <w:style w:type="character" w:customStyle="1" w:styleId="TLTBodyTextBoldChar">
    <w:name w:val="TLT Body Text Bold Char"/>
    <w:basedOn w:val="DefaultParagraphFont"/>
    <w:link w:val="TLTBodyTextBold"/>
    <w:rsid w:val="00D34BD0"/>
    <w:rPr>
      <w:rFonts w:eastAsia="Times New Roman" w:cs="Times New Roman"/>
      <w:b/>
      <w:szCs w:val="24"/>
    </w:rPr>
  </w:style>
  <w:style w:type="paragraph" w:customStyle="1" w:styleId="TLTLitigant">
    <w:name w:val="TLT Litigant"/>
    <w:basedOn w:val="Normal"/>
    <w:next w:val="TLTCentre"/>
    <w:rsid w:val="00D34BD0"/>
    <w:pPr>
      <w:spacing w:before="100" w:after="200"/>
      <w:jc w:val="right"/>
    </w:pPr>
    <w:rPr>
      <w:rFonts w:eastAsia="Times New Roman" w:cs="Times New Roman"/>
      <w:szCs w:val="24"/>
      <w:lang w:eastAsia="en-GB"/>
    </w:rPr>
  </w:style>
  <w:style w:type="paragraph" w:customStyle="1" w:styleId="TLTLLP">
    <w:name w:val="TLT LLP"/>
    <w:basedOn w:val="Normal"/>
    <w:next w:val="TLTEnc"/>
    <w:rsid w:val="00D34BD0"/>
    <w:pPr>
      <w:spacing w:after="200"/>
    </w:pPr>
    <w:rPr>
      <w:rFonts w:eastAsia="Times New Roman" w:cs="Times New Roman"/>
      <w:szCs w:val="24"/>
      <w:lang w:eastAsia="en-GB"/>
    </w:rPr>
  </w:style>
  <w:style w:type="paragraph" w:customStyle="1" w:styleId="TLTLPC">
    <w:name w:val="TLT LPC"/>
    <w:basedOn w:val="Normal"/>
    <w:next w:val="TLTBodyText"/>
    <w:rsid w:val="00D34BD0"/>
    <w:pPr>
      <w:spacing w:before="100" w:after="200"/>
    </w:pPr>
    <w:rPr>
      <w:rFonts w:eastAsia="Times New Roman" w:cs="Times New Roman"/>
      <w:sz w:val="24"/>
      <w:szCs w:val="24"/>
      <w:lang w:eastAsia="en-GB"/>
    </w:rPr>
  </w:style>
  <w:style w:type="paragraph" w:customStyle="1" w:styleId="TLTPartHeading">
    <w:name w:val="TLT Part Heading"/>
    <w:basedOn w:val="Normal"/>
    <w:next w:val="TLTBodyText"/>
    <w:rsid w:val="00F671A9"/>
    <w:pPr>
      <w:spacing w:after="200"/>
      <w:jc w:val="center"/>
    </w:pPr>
    <w:rPr>
      <w:rFonts w:eastAsia="Times New Roman" w:cs="Times New Roman"/>
      <w:b/>
      <w:szCs w:val="24"/>
      <w:lang w:eastAsia="en-GB"/>
    </w:rPr>
  </w:style>
  <w:style w:type="paragraph" w:customStyle="1" w:styleId="TLTPartiesBodyText">
    <w:name w:val="TLT Parties Body Text"/>
    <w:basedOn w:val="Normal"/>
    <w:rsid w:val="00D34BD0"/>
    <w:pPr>
      <w:numPr>
        <w:numId w:val="2"/>
      </w:numPr>
      <w:spacing w:before="100" w:after="200"/>
    </w:pPr>
    <w:rPr>
      <w:rFonts w:eastAsia="Times New Roman" w:cs="Times New Roman"/>
      <w:szCs w:val="24"/>
      <w:lang w:eastAsia="en-GB"/>
    </w:rPr>
  </w:style>
  <w:style w:type="paragraph" w:customStyle="1" w:styleId="TLTPartiesFrontSheet">
    <w:name w:val="TLT Parties Front Sheet"/>
    <w:basedOn w:val="Normal"/>
    <w:rsid w:val="00D34BD0"/>
    <w:pPr>
      <w:numPr>
        <w:numId w:val="1"/>
      </w:numPr>
    </w:pPr>
    <w:rPr>
      <w:rFonts w:eastAsia="Times New Roman" w:cs="Times New Roman"/>
      <w:szCs w:val="24"/>
      <w:lang w:eastAsia="en-GB"/>
    </w:rPr>
  </w:style>
  <w:style w:type="paragraph" w:customStyle="1" w:styleId="TLTRecitals">
    <w:name w:val="TLT Recitals"/>
    <w:basedOn w:val="Normal"/>
    <w:rsid w:val="00D34BD0"/>
    <w:pPr>
      <w:numPr>
        <w:numId w:val="4"/>
      </w:numPr>
      <w:spacing w:before="100" w:after="200"/>
    </w:pPr>
    <w:rPr>
      <w:rFonts w:eastAsia="Times New Roman" w:cs="Times New Roman"/>
      <w:szCs w:val="24"/>
      <w:lang w:eastAsia="en-GB"/>
    </w:rPr>
  </w:style>
  <w:style w:type="paragraph" w:customStyle="1" w:styleId="TLTReference">
    <w:name w:val="TLT Reference"/>
    <w:basedOn w:val="Normal"/>
    <w:rsid w:val="00D34BD0"/>
    <w:pPr>
      <w:tabs>
        <w:tab w:val="left" w:pos="1077"/>
      </w:tabs>
    </w:pPr>
    <w:rPr>
      <w:rFonts w:eastAsia="Times New Roman" w:cs="Times New Roman"/>
      <w:sz w:val="16"/>
      <w:szCs w:val="24"/>
      <w:lang w:eastAsia="en-GB"/>
    </w:rPr>
  </w:style>
  <w:style w:type="paragraph" w:customStyle="1" w:styleId="TLTScheduleHeading">
    <w:name w:val="TLT Schedule Heading"/>
    <w:basedOn w:val="Normal"/>
    <w:next w:val="TLTScheduleSubHeading"/>
    <w:rsid w:val="00D34BD0"/>
    <w:pPr>
      <w:numPr>
        <w:numId w:val="7"/>
      </w:numPr>
      <w:spacing w:before="100" w:after="300"/>
      <w:jc w:val="center"/>
    </w:pPr>
    <w:rPr>
      <w:rFonts w:eastAsia="Times New Roman" w:cs="Times New Roman"/>
      <w:b/>
      <w:szCs w:val="24"/>
      <w:lang w:eastAsia="en-GB"/>
    </w:rPr>
  </w:style>
  <w:style w:type="paragraph" w:customStyle="1" w:styleId="TLTSchedulePartHeading">
    <w:name w:val="TLT Schedule Part Heading"/>
    <w:basedOn w:val="TLTPartHeading"/>
    <w:next w:val="TLTScheduleSubHeading"/>
    <w:rsid w:val="00F73AA9"/>
    <w:pPr>
      <w:numPr>
        <w:numId w:val="13"/>
      </w:numPr>
      <w:spacing w:before="100" w:after="300"/>
    </w:pPr>
  </w:style>
  <w:style w:type="paragraph" w:customStyle="1" w:styleId="TLTScheduleSubHeading">
    <w:name w:val="TLT Schedule Sub Heading"/>
    <w:basedOn w:val="Normal"/>
    <w:next w:val="TLTPartHeading"/>
    <w:rsid w:val="00D34BD0"/>
    <w:pPr>
      <w:spacing w:before="100" w:after="300"/>
      <w:jc w:val="center"/>
    </w:pPr>
    <w:rPr>
      <w:rFonts w:eastAsia="Times New Roman" w:cs="Times New Roman"/>
      <w:b/>
      <w:szCs w:val="24"/>
      <w:lang w:eastAsia="en-GB"/>
    </w:rPr>
  </w:style>
  <w:style w:type="paragraph" w:customStyle="1" w:styleId="TLTScheduleText1">
    <w:name w:val="TLT Schedule Text 1"/>
    <w:basedOn w:val="Normal"/>
    <w:next w:val="TLTBodyText1"/>
    <w:uiPriority w:val="99"/>
    <w:qFormat/>
    <w:rsid w:val="00D34BD0"/>
    <w:pPr>
      <w:numPr>
        <w:numId w:val="8"/>
      </w:numPr>
      <w:spacing w:before="400" w:after="200"/>
    </w:pPr>
    <w:rPr>
      <w:rFonts w:eastAsia="Times New Roman" w:cs="Times New Roman"/>
      <w:b/>
      <w:szCs w:val="24"/>
      <w:lang w:eastAsia="en-GB"/>
    </w:rPr>
  </w:style>
  <w:style w:type="paragraph" w:customStyle="1" w:styleId="TLTScheduleText2">
    <w:name w:val="TLT Schedule Text 2"/>
    <w:basedOn w:val="TLTScheduleText1"/>
    <w:next w:val="TLTBodyText2"/>
    <w:uiPriority w:val="99"/>
    <w:qFormat/>
    <w:rsid w:val="00D34BD0"/>
    <w:pPr>
      <w:numPr>
        <w:ilvl w:val="1"/>
      </w:numPr>
      <w:spacing w:before="100"/>
    </w:pPr>
    <w:rPr>
      <w:b w:val="0"/>
    </w:rPr>
  </w:style>
  <w:style w:type="paragraph" w:customStyle="1" w:styleId="TLTScheduleText3">
    <w:name w:val="TLT Schedule Text 3"/>
    <w:basedOn w:val="TLTLevel3"/>
    <w:next w:val="TLTBodyText3"/>
    <w:uiPriority w:val="99"/>
    <w:qFormat/>
    <w:rsid w:val="00D34BD0"/>
    <w:pPr>
      <w:numPr>
        <w:numId w:val="8"/>
      </w:numPr>
    </w:pPr>
  </w:style>
  <w:style w:type="paragraph" w:customStyle="1" w:styleId="TLTScheduleText4">
    <w:name w:val="TLT Schedule Text 4"/>
    <w:basedOn w:val="TLTLevel4"/>
    <w:next w:val="TLTBodyText4"/>
    <w:uiPriority w:val="99"/>
    <w:rsid w:val="00D34BD0"/>
    <w:pPr>
      <w:numPr>
        <w:numId w:val="8"/>
      </w:numPr>
    </w:pPr>
  </w:style>
  <w:style w:type="paragraph" w:customStyle="1" w:styleId="TLTScheduleText5">
    <w:name w:val="TLT Schedule Text 5"/>
    <w:basedOn w:val="TLTLevel5"/>
    <w:next w:val="TLTBodyText5"/>
    <w:uiPriority w:val="99"/>
    <w:rsid w:val="00D34BD0"/>
    <w:pPr>
      <w:numPr>
        <w:numId w:val="8"/>
      </w:numPr>
    </w:pPr>
  </w:style>
  <w:style w:type="paragraph" w:customStyle="1" w:styleId="TLTSetInformation">
    <w:name w:val="TLT Set Information"/>
    <w:basedOn w:val="Normal"/>
    <w:rsid w:val="00D34BD0"/>
    <w:pPr>
      <w:spacing w:line="300" w:lineRule="exact"/>
    </w:pPr>
    <w:rPr>
      <w:rFonts w:eastAsia="Times New Roman" w:cs="Times New Roman"/>
      <w:sz w:val="16"/>
      <w:szCs w:val="24"/>
      <w:lang w:eastAsia="en-GB"/>
    </w:rPr>
  </w:style>
  <w:style w:type="paragraph" w:customStyle="1" w:styleId="TLTSignature">
    <w:name w:val="TLT Signature"/>
    <w:basedOn w:val="Normal"/>
    <w:rsid w:val="00D34BD0"/>
    <w:rPr>
      <w:rFonts w:eastAsia="Times New Roman" w:cs="Times New Roman"/>
      <w:b/>
      <w:szCs w:val="24"/>
      <w:lang w:eastAsia="en-GB"/>
    </w:rPr>
  </w:style>
  <w:style w:type="paragraph" w:customStyle="1" w:styleId="TLTStatus">
    <w:name w:val="TLT Status"/>
    <w:basedOn w:val="Normal"/>
    <w:next w:val="TLTBodyText"/>
    <w:rsid w:val="00D34BD0"/>
    <w:pPr>
      <w:spacing w:before="200" w:after="400"/>
    </w:pPr>
    <w:rPr>
      <w:rFonts w:eastAsia="Times New Roman" w:cs="Times New Roman"/>
      <w:b/>
      <w:szCs w:val="24"/>
      <w:lang w:eastAsia="en-GB"/>
    </w:rPr>
  </w:style>
  <w:style w:type="paragraph" w:customStyle="1" w:styleId="TLTSubTitle">
    <w:name w:val="TLT Sub Title"/>
    <w:basedOn w:val="Normal"/>
    <w:link w:val="TLTSubTitleChar"/>
    <w:rsid w:val="00D34BD0"/>
    <w:pPr>
      <w:spacing w:before="100" w:after="200"/>
    </w:pPr>
    <w:rPr>
      <w:rFonts w:eastAsia="Times New Roman" w:cs="Times New Roman"/>
      <w:sz w:val="28"/>
      <w:szCs w:val="24"/>
      <w:lang w:eastAsia="en-GB"/>
    </w:rPr>
  </w:style>
  <w:style w:type="paragraph" w:customStyle="1" w:styleId="TLTSubject">
    <w:name w:val="TLT Subject"/>
    <w:basedOn w:val="Normal"/>
    <w:rsid w:val="00D34BD0"/>
    <w:pPr>
      <w:spacing w:before="400" w:after="300"/>
    </w:pPr>
    <w:rPr>
      <w:rFonts w:eastAsia="Times New Roman" w:cs="Times New Roman"/>
      <w:b/>
      <w:szCs w:val="24"/>
      <w:lang w:eastAsia="en-GB"/>
    </w:rPr>
  </w:style>
  <w:style w:type="paragraph" w:customStyle="1" w:styleId="TLTTemplate">
    <w:name w:val="TLT Template"/>
    <w:basedOn w:val="Normal"/>
    <w:rsid w:val="00D34BD0"/>
    <w:pPr>
      <w:spacing w:before="500" w:after="400"/>
    </w:pPr>
    <w:rPr>
      <w:rFonts w:eastAsia="Times New Roman" w:cs="Times New Roman"/>
      <w:b/>
      <w:sz w:val="36"/>
      <w:szCs w:val="24"/>
      <w:lang w:eastAsia="en-GB"/>
    </w:rPr>
  </w:style>
  <w:style w:type="paragraph" w:customStyle="1" w:styleId="TLTTitle">
    <w:name w:val="TLT Title"/>
    <w:basedOn w:val="Normal"/>
    <w:rsid w:val="00D34BD0"/>
    <w:pPr>
      <w:spacing w:before="100" w:after="200"/>
    </w:pPr>
    <w:rPr>
      <w:rFonts w:eastAsia="Times New Roman" w:cs="Times New Roman"/>
      <w:b/>
      <w:sz w:val="36"/>
      <w:szCs w:val="24"/>
      <w:lang w:eastAsia="en-GB"/>
    </w:rPr>
  </w:style>
  <w:style w:type="paragraph" w:styleId="TOC1">
    <w:name w:val="toc 1"/>
    <w:basedOn w:val="Normal"/>
    <w:next w:val="Normal"/>
    <w:autoRedefine/>
    <w:uiPriority w:val="39"/>
    <w:unhideWhenUsed/>
    <w:rsid w:val="00D34BD0"/>
    <w:pPr>
      <w:tabs>
        <w:tab w:val="right" w:leader="dot" w:pos="8448"/>
      </w:tabs>
    </w:pPr>
    <w:rPr>
      <w:rFonts w:eastAsia="Times New Roman" w:cs="Times New Roman"/>
      <w:szCs w:val="24"/>
      <w:lang w:eastAsia="en-GB"/>
    </w:rPr>
  </w:style>
  <w:style w:type="paragraph" w:customStyle="1" w:styleId="TLTBulletsBody">
    <w:name w:val="TLT Bullets Body"/>
    <w:basedOn w:val="TLTBodyText"/>
    <w:rsid w:val="00D34BD0"/>
    <w:pPr>
      <w:numPr>
        <w:numId w:val="11"/>
      </w:numPr>
    </w:pPr>
  </w:style>
  <w:style w:type="paragraph" w:styleId="TOC2">
    <w:name w:val="toc 2"/>
    <w:basedOn w:val="Normal"/>
    <w:next w:val="Normal"/>
    <w:autoRedefine/>
    <w:uiPriority w:val="39"/>
    <w:unhideWhenUsed/>
    <w:rsid w:val="007F01A8"/>
    <w:pPr>
      <w:numPr>
        <w:numId w:val="12"/>
      </w:numPr>
      <w:tabs>
        <w:tab w:val="right" w:leader="dot" w:pos="8448"/>
      </w:tabs>
    </w:pPr>
    <w:rPr>
      <w:rFonts w:eastAsia="Times New Roman" w:cs="Times New Roman"/>
      <w:szCs w:val="24"/>
      <w:lang w:eastAsia="en-GB"/>
    </w:rPr>
  </w:style>
  <w:style w:type="paragraph" w:styleId="TOC3">
    <w:name w:val="toc 3"/>
    <w:basedOn w:val="Normal"/>
    <w:next w:val="Normal"/>
    <w:autoRedefine/>
    <w:uiPriority w:val="39"/>
    <w:unhideWhenUsed/>
    <w:rsid w:val="00D34BD0"/>
    <w:pPr>
      <w:numPr>
        <w:ilvl w:val="1"/>
        <w:numId w:val="12"/>
      </w:numPr>
      <w:tabs>
        <w:tab w:val="right" w:leader="dot" w:pos="8448"/>
      </w:tabs>
    </w:pPr>
    <w:rPr>
      <w:rFonts w:eastAsia="Times New Roman" w:cs="Times New Roman"/>
      <w:szCs w:val="24"/>
      <w:lang w:eastAsia="en-GB"/>
    </w:rPr>
  </w:style>
  <w:style w:type="paragraph" w:customStyle="1" w:styleId="TLTBulletsLevel1">
    <w:name w:val="TLT Bullets Level 1"/>
    <w:basedOn w:val="TLTBodyText1"/>
    <w:rsid w:val="00D34BD0"/>
    <w:pPr>
      <w:numPr>
        <w:ilvl w:val="1"/>
        <w:numId w:val="11"/>
      </w:numPr>
      <w:tabs>
        <w:tab w:val="left" w:pos="1797"/>
      </w:tabs>
    </w:pPr>
  </w:style>
  <w:style w:type="character" w:customStyle="1" w:styleId="TLTSubTitleChar">
    <w:name w:val="TLT Sub Title Char"/>
    <w:link w:val="TLTSubTitle"/>
    <w:rsid w:val="00EC2472"/>
    <w:rPr>
      <w:rFonts w:eastAsia="Times New Roman" w:cs="Times New Roman"/>
      <w:sz w:val="28"/>
      <w:szCs w:val="24"/>
    </w:rPr>
  </w:style>
  <w:style w:type="paragraph" w:customStyle="1" w:styleId="TLTParties">
    <w:name w:val="TLT Parties"/>
    <w:basedOn w:val="Normal"/>
    <w:rsid w:val="00EC2472"/>
    <w:pPr>
      <w:numPr>
        <w:numId w:val="3"/>
      </w:numPr>
    </w:pPr>
    <w:rPr>
      <w:rFonts w:cs="Arial"/>
    </w:rPr>
  </w:style>
  <w:style w:type="character" w:customStyle="1" w:styleId="TLTLevel2CharChar">
    <w:name w:val="TLT Level 2 Char Char"/>
    <w:link w:val="TLTLevel2"/>
    <w:uiPriority w:val="99"/>
    <w:locked/>
    <w:rsid w:val="00A167AD"/>
    <w:rPr>
      <w:rFonts w:eastAsia="Times New Roman" w:cs="Times New Roman"/>
      <w:szCs w:val="24"/>
    </w:rPr>
  </w:style>
  <w:style w:type="character" w:customStyle="1" w:styleId="TLTBodyTextChar">
    <w:name w:val="TLT Body Text Char"/>
    <w:link w:val="TLTBodyText"/>
    <w:uiPriority w:val="99"/>
    <w:rsid w:val="00C85656"/>
    <w:rPr>
      <w:rFonts w:eastAsia="Times New Roman" w:cs="Times New Roman"/>
      <w:szCs w:val="24"/>
    </w:rPr>
  </w:style>
  <w:style w:type="paragraph" w:styleId="Header">
    <w:name w:val="header"/>
    <w:basedOn w:val="Normal"/>
    <w:link w:val="HeaderChar"/>
    <w:uiPriority w:val="99"/>
    <w:rsid w:val="003651F6"/>
    <w:pPr>
      <w:tabs>
        <w:tab w:val="center" w:pos="4513"/>
        <w:tab w:val="right" w:pos="9026"/>
      </w:tabs>
    </w:pPr>
  </w:style>
  <w:style w:type="character" w:customStyle="1" w:styleId="HeaderChar">
    <w:name w:val="Header Char"/>
    <w:basedOn w:val="DefaultParagraphFont"/>
    <w:link w:val="Header"/>
    <w:uiPriority w:val="99"/>
    <w:rsid w:val="003651F6"/>
    <w:rPr>
      <w:lang w:eastAsia="en-US"/>
    </w:rPr>
  </w:style>
  <w:style w:type="paragraph" w:styleId="Footer">
    <w:name w:val="footer"/>
    <w:basedOn w:val="Normal"/>
    <w:link w:val="FooterChar"/>
    <w:uiPriority w:val="99"/>
    <w:rsid w:val="00D96DCB"/>
    <w:pPr>
      <w:tabs>
        <w:tab w:val="center" w:pos="4513"/>
        <w:tab w:val="right" w:pos="9026"/>
      </w:tabs>
    </w:pPr>
    <w:rPr>
      <w:sz w:val="16"/>
    </w:rPr>
  </w:style>
  <w:style w:type="character" w:customStyle="1" w:styleId="FooterChar">
    <w:name w:val="Footer Char"/>
    <w:basedOn w:val="DefaultParagraphFont"/>
    <w:link w:val="Footer"/>
    <w:uiPriority w:val="99"/>
    <w:rsid w:val="00D96DCB"/>
    <w:rPr>
      <w:sz w:val="16"/>
      <w:lang w:eastAsia="en-US"/>
    </w:rPr>
  </w:style>
  <w:style w:type="character" w:styleId="Hyperlink">
    <w:name w:val="Hyperlink"/>
    <w:basedOn w:val="DefaultParagraphFont"/>
    <w:uiPriority w:val="99"/>
    <w:unhideWhenUsed/>
    <w:rsid w:val="00057FBA"/>
    <w:rPr>
      <w:color w:val="00B3BA" w:themeColor="hyperlink"/>
      <w:u w:val="single"/>
    </w:rPr>
  </w:style>
  <w:style w:type="character" w:customStyle="1" w:styleId="TLTBodyText1Char">
    <w:name w:val="TLT Body Text 1 Char"/>
    <w:basedOn w:val="TLTBodyTextChar"/>
    <w:link w:val="TLTBodyText1"/>
    <w:uiPriority w:val="99"/>
    <w:rsid w:val="00164DAF"/>
    <w:rPr>
      <w:rFonts w:eastAsia="Times New Roman" w:cs="Times New Roman"/>
      <w:szCs w:val="24"/>
    </w:rPr>
  </w:style>
  <w:style w:type="character" w:customStyle="1" w:styleId="TLTBodyText2Char">
    <w:name w:val="TLT Body Text 2 Char"/>
    <w:basedOn w:val="TLTBodyText1Char"/>
    <w:link w:val="TLTBodyText2"/>
    <w:uiPriority w:val="99"/>
    <w:rsid w:val="00164DAF"/>
    <w:rPr>
      <w:rFonts w:eastAsia="Times New Roman" w:cs="Times New Roman"/>
      <w:szCs w:val="24"/>
    </w:rPr>
  </w:style>
  <w:style w:type="character" w:customStyle="1" w:styleId="TLTLevel3Char">
    <w:name w:val="TLT Level 3 Char"/>
    <w:basedOn w:val="TLTBodyText2Char"/>
    <w:link w:val="TLTLevel3"/>
    <w:uiPriority w:val="99"/>
    <w:rsid w:val="00164DAF"/>
    <w:rPr>
      <w:rFonts w:eastAsia="Times New Roman" w:cs="Times New Roman"/>
      <w:szCs w:val="24"/>
    </w:rPr>
  </w:style>
  <w:style w:type="paragraph" w:styleId="Revision">
    <w:name w:val="Revision"/>
    <w:hidden/>
    <w:uiPriority w:val="99"/>
    <w:semiHidden/>
    <w:rsid w:val="003D38E2"/>
    <w:rPr>
      <w:szCs w:val="24"/>
    </w:rPr>
  </w:style>
  <w:style w:type="paragraph" w:customStyle="1" w:styleId="TLTFAO">
    <w:name w:val="TLT FAO"/>
    <w:basedOn w:val="TLTAddress"/>
    <w:rsid w:val="00D34BD0"/>
    <w:rPr>
      <w:b/>
    </w:rPr>
  </w:style>
  <w:style w:type="character" w:styleId="UnresolvedMention">
    <w:name w:val="Unresolved Mention"/>
    <w:basedOn w:val="DefaultParagraphFont"/>
    <w:uiPriority w:val="99"/>
    <w:semiHidden/>
    <w:unhideWhenUsed/>
    <w:rsid w:val="00D1435F"/>
    <w:rPr>
      <w:color w:val="605E5C"/>
      <w:shd w:val="clear" w:color="auto" w:fill="E1DFDD"/>
    </w:rPr>
  </w:style>
  <w:style w:type="paragraph" w:styleId="BodyText">
    <w:name w:val="Body Text"/>
    <w:basedOn w:val="Normal"/>
    <w:link w:val="BodyTextChar"/>
    <w:rsid w:val="00016687"/>
    <w:pPr>
      <w:spacing w:after="120"/>
    </w:pPr>
  </w:style>
  <w:style w:type="character" w:customStyle="1" w:styleId="BodyTextChar">
    <w:name w:val="Body Text Char"/>
    <w:basedOn w:val="DefaultParagraphFont"/>
    <w:link w:val="BodyText"/>
    <w:rsid w:val="00016687"/>
    <w:rPr>
      <w:lang w:eastAsia="en-US"/>
    </w:rPr>
  </w:style>
  <w:style w:type="table" w:styleId="TableGrid">
    <w:name w:val="Table Grid"/>
    <w:basedOn w:val="TableNormal"/>
    <w:uiPriority w:val="39"/>
    <w:rsid w:val="0070372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03724"/>
    <w:rPr>
      <w:rFonts w:ascii="Tahoma" w:hAnsi="Tahoma" w:cs="Tahoma"/>
      <w:sz w:val="16"/>
      <w:szCs w:val="16"/>
    </w:rPr>
  </w:style>
  <w:style w:type="character" w:customStyle="1" w:styleId="BalloonTextChar">
    <w:name w:val="Balloon Text Char"/>
    <w:basedOn w:val="DefaultParagraphFont"/>
    <w:link w:val="BalloonText"/>
    <w:uiPriority w:val="99"/>
    <w:rsid w:val="00703724"/>
    <w:rPr>
      <w:rFonts w:ascii="Tahoma" w:hAnsi="Tahoma" w:cs="Tahoma"/>
      <w:sz w:val="16"/>
      <w:szCs w:val="16"/>
      <w:lang w:eastAsia="en-US"/>
    </w:rPr>
  </w:style>
  <w:style w:type="paragraph" w:customStyle="1" w:styleId="BlankDocumentTitle">
    <w:name w:val="Blank Document Title"/>
    <w:basedOn w:val="Normal"/>
    <w:next w:val="STNBodyText"/>
    <w:rsid w:val="00703724"/>
    <w:pPr>
      <w:spacing w:after="200"/>
      <w:jc w:val="center"/>
    </w:pPr>
    <w:rPr>
      <w:rFonts w:eastAsia="Times New Roman" w:cs="Times New Roman"/>
      <w:b/>
      <w:szCs w:val="24"/>
      <w:lang w:eastAsia="en-GB"/>
    </w:rPr>
  </w:style>
  <w:style w:type="paragraph" w:customStyle="1" w:styleId="Level1">
    <w:name w:val="Level 1"/>
    <w:basedOn w:val="STNBodyText"/>
    <w:next w:val="STNBodyText1"/>
    <w:qFormat/>
    <w:rsid w:val="00703724"/>
    <w:pPr>
      <w:tabs>
        <w:tab w:val="left" w:pos="720"/>
      </w:tabs>
      <w:ind w:left="720" w:hanging="720"/>
    </w:pPr>
  </w:style>
  <w:style w:type="paragraph" w:customStyle="1" w:styleId="Level1Bold">
    <w:name w:val="Level 1 Bold"/>
    <w:basedOn w:val="Level1"/>
    <w:next w:val="Level2"/>
    <w:rsid w:val="00703724"/>
    <w:pPr>
      <w:spacing w:before="400"/>
    </w:pPr>
    <w:rPr>
      <w:b/>
    </w:rPr>
  </w:style>
  <w:style w:type="paragraph" w:customStyle="1" w:styleId="ActionText">
    <w:name w:val="Action Text"/>
    <w:basedOn w:val="Normal"/>
    <w:next w:val="STNBodyText"/>
    <w:rsid w:val="00703724"/>
    <w:pPr>
      <w:spacing w:before="100"/>
      <w:jc w:val="right"/>
    </w:pPr>
    <w:rPr>
      <w:rFonts w:eastAsia="Times New Roman" w:cs="Times New Roman"/>
      <w:b/>
      <w:szCs w:val="24"/>
      <w:lang w:eastAsia="en-GB"/>
    </w:rPr>
  </w:style>
  <w:style w:type="paragraph" w:customStyle="1" w:styleId="TLTDefinitionListLevel1">
    <w:name w:val="TLT Definition List Level 1"/>
    <w:basedOn w:val="TLTDefinitionList"/>
    <w:uiPriority w:val="99"/>
    <w:rsid w:val="00D34BD0"/>
    <w:pPr>
      <w:numPr>
        <w:ilvl w:val="1"/>
      </w:numPr>
    </w:pPr>
  </w:style>
  <w:style w:type="paragraph" w:customStyle="1" w:styleId="STNBodyText">
    <w:name w:val="STN Body Text"/>
    <w:basedOn w:val="Normal"/>
    <w:link w:val="STNBodyTextChar"/>
    <w:rsid w:val="00703724"/>
    <w:pPr>
      <w:spacing w:before="100" w:after="200"/>
    </w:pPr>
    <w:rPr>
      <w:rFonts w:eastAsia="Times New Roman" w:cs="Times New Roman"/>
      <w:szCs w:val="24"/>
      <w:lang w:eastAsia="en-GB"/>
    </w:rPr>
  </w:style>
  <w:style w:type="paragraph" w:customStyle="1" w:styleId="STNBodyText1">
    <w:name w:val="STN Body Text 1"/>
    <w:basedOn w:val="STNBodyText"/>
    <w:link w:val="STNBodyText1Char"/>
    <w:rsid w:val="00703724"/>
    <w:pPr>
      <w:ind w:left="720"/>
    </w:pPr>
  </w:style>
  <w:style w:type="paragraph" w:customStyle="1" w:styleId="STNBodyText2">
    <w:name w:val="STN Body Text 2"/>
    <w:basedOn w:val="STNBodyText1"/>
    <w:link w:val="STNBodyText2Char"/>
    <w:rsid w:val="00703724"/>
  </w:style>
  <w:style w:type="character" w:customStyle="1" w:styleId="Heading2Char">
    <w:name w:val="Heading 2 Char"/>
    <w:link w:val="Heading2"/>
    <w:uiPriority w:val="9"/>
    <w:rsid w:val="00107652"/>
    <w:rPr>
      <w:rFonts w:asciiTheme="majorHAnsi" w:eastAsiaTheme="majorEastAsia" w:hAnsiTheme="majorHAnsi" w:cstheme="majorBidi"/>
      <w:b/>
      <w:bCs/>
      <w:color w:val="09202E" w:themeColor="accent1"/>
      <w:sz w:val="26"/>
      <w:szCs w:val="26"/>
    </w:rPr>
  </w:style>
  <w:style w:type="character" w:customStyle="1" w:styleId="Heading3Char">
    <w:name w:val="Heading 3 Char"/>
    <w:link w:val="Heading3"/>
    <w:uiPriority w:val="9"/>
    <w:rsid w:val="00107652"/>
    <w:rPr>
      <w:rFonts w:asciiTheme="majorHAnsi" w:eastAsiaTheme="majorEastAsia" w:hAnsiTheme="majorHAnsi" w:cstheme="majorBidi"/>
      <w:b/>
      <w:bCs/>
      <w:color w:val="09202E" w:themeColor="accent1"/>
    </w:rPr>
  </w:style>
  <w:style w:type="paragraph" w:customStyle="1" w:styleId="TLTDLIntrotext">
    <w:name w:val="TLT DL Intro text"/>
    <w:basedOn w:val="TLTBodyText"/>
    <w:next w:val="TLTBodyText"/>
    <w:uiPriority w:val="10"/>
    <w:qFormat/>
    <w:pPr>
      <w:spacing w:before="320" w:after="0" w:line="320" w:lineRule="exact"/>
    </w:pPr>
    <w:rPr>
      <w:color w:val="970D34"/>
      <w:sz w:val="24"/>
    </w:rPr>
  </w:style>
  <w:style w:type="paragraph" w:customStyle="1" w:styleId="TLTBDSubheadingRed">
    <w:name w:val="TLT BD Subheading Red"/>
    <w:basedOn w:val="Normal"/>
    <w:next w:val="TLTBodyText"/>
    <w:link w:val="TLTBDSubheadingRedChar"/>
    <w:uiPriority w:val="10"/>
    <w:pPr>
      <w:keepNext/>
      <w:spacing w:before="240" w:after="100"/>
    </w:pPr>
    <w:rPr>
      <w:rFonts w:eastAsia="Times New Roman" w:cs="Times New Roman"/>
      <w:b/>
      <w:color w:val="97233F"/>
      <w:szCs w:val="24"/>
      <w:lang w:eastAsia="en-GB"/>
    </w:rPr>
  </w:style>
  <w:style w:type="character" w:customStyle="1" w:styleId="TLTBDSubheadingRedChar">
    <w:name w:val="TLT BD Subheading Red Char"/>
    <w:link w:val="TLTBDSubheadingRed"/>
    <w:uiPriority w:val="10"/>
    <w:rPr>
      <w:rFonts w:eastAsia="Times New Roman" w:cs="Times New Roman"/>
      <w:b/>
      <w:color w:val="97233F"/>
      <w:szCs w:val="24"/>
    </w:rPr>
  </w:style>
  <w:style w:type="paragraph" w:customStyle="1" w:styleId="TLTDLHeadingA">
    <w:name w:val="TLT DL Heading A"/>
    <w:basedOn w:val="TLTBodyText"/>
    <w:next w:val="TLTBodyText"/>
    <w:uiPriority w:val="10"/>
    <w:qFormat/>
    <w:pPr>
      <w:keepNext/>
      <w:keepLines/>
      <w:spacing w:before="600" w:after="0" w:line="440" w:lineRule="exact"/>
    </w:pPr>
    <w:rPr>
      <w:b/>
      <w:color w:val="FD6631"/>
      <w:sz w:val="36"/>
    </w:rPr>
  </w:style>
  <w:style w:type="paragraph" w:customStyle="1" w:styleId="TLTDLCovertitle">
    <w:name w:val="TLT DL Cover title"/>
    <w:basedOn w:val="TLTBodyText"/>
    <w:uiPriority w:val="10"/>
    <w:pPr>
      <w:spacing w:before="160" w:after="0"/>
      <w:jc w:val="right"/>
    </w:pPr>
    <w:rPr>
      <w:b/>
      <w:color w:val="045679"/>
      <w:sz w:val="40"/>
    </w:rPr>
  </w:style>
  <w:style w:type="paragraph" w:customStyle="1" w:styleId="TLTDLCovertitleteam">
    <w:name w:val="TLT DL Cover title team"/>
    <w:basedOn w:val="TLTDLCovertitle"/>
    <w:next w:val="TLTDLCovertitle"/>
    <w:uiPriority w:val="10"/>
    <w:pPr>
      <w:spacing w:before="520"/>
    </w:pPr>
    <w:rPr>
      <w:b w:val="0"/>
    </w:rPr>
  </w:style>
  <w:style w:type="paragraph" w:customStyle="1" w:styleId="STNBodyText3">
    <w:name w:val="STN Body Text 3"/>
    <w:basedOn w:val="STNBodyText2"/>
    <w:rsid w:val="00703724"/>
    <w:pPr>
      <w:ind w:left="1803"/>
    </w:pPr>
  </w:style>
  <w:style w:type="paragraph" w:customStyle="1" w:styleId="STNBodyText4">
    <w:name w:val="STN Body Text 4"/>
    <w:basedOn w:val="STNBodyText3"/>
    <w:rsid w:val="00703724"/>
  </w:style>
  <w:style w:type="paragraph" w:customStyle="1" w:styleId="TLTCovertitleturquoise">
    <w:name w:val="TLT Cover title turquoise"/>
    <w:basedOn w:val="Normal"/>
    <w:next w:val="Normal"/>
    <w:rsid w:val="00E42AE0"/>
    <w:pPr>
      <w:spacing w:before="80" w:after="80"/>
    </w:pPr>
    <w:rPr>
      <w:b/>
      <w:color w:val="00B3BA"/>
      <w:sz w:val="64"/>
      <w:szCs w:val="36"/>
    </w:rPr>
  </w:style>
  <w:style w:type="paragraph" w:customStyle="1" w:styleId="TLTCoversubtitle-white">
    <w:name w:val="TLT Cover sub title - white"/>
    <w:basedOn w:val="Normal"/>
    <w:next w:val="Normal"/>
    <w:rsid w:val="00501C16"/>
    <w:pPr>
      <w:spacing w:line="276" w:lineRule="auto"/>
    </w:pPr>
    <w:rPr>
      <w:color w:val="FFFFFF"/>
      <w:sz w:val="28"/>
    </w:rPr>
  </w:style>
  <w:style w:type="paragraph" w:customStyle="1" w:styleId="TLTHeadingA">
    <w:name w:val="TLT Heading A"/>
    <w:basedOn w:val="TLTBodyText"/>
    <w:next w:val="TLTBodyText"/>
    <w:rsid w:val="0030408B"/>
    <w:pPr>
      <w:keepNext/>
      <w:keepLines/>
      <w:spacing w:before="600" w:line="440" w:lineRule="exact"/>
    </w:pPr>
    <w:rPr>
      <w:b/>
      <w:color w:val="09202E"/>
      <w:sz w:val="36"/>
    </w:rPr>
  </w:style>
  <w:style w:type="paragraph" w:customStyle="1" w:styleId="TLTHeadingB">
    <w:name w:val="TLT Heading B"/>
    <w:basedOn w:val="TLTBodyText"/>
    <w:next w:val="TLTBodyText"/>
    <w:rsid w:val="0030408B"/>
    <w:pPr>
      <w:keepNext/>
      <w:spacing w:before="320" w:line="340" w:lineRule="exact"/>
    </w:pPr>
    <w:rPr>
      <w:b/>
      <w:color w:val="00B3BA"/>
      <w:sz w:val="28"/>
    </w:rPr>
  </w:style>
  <w:style w:type="paragraph" w:customStyle="1" w:styleId="TLTHeadingC">
    <w:name w:val="TLT Heading C"/>
    <w:basedOn w:val="TLTBodyText"/>
    <w:next w:val="TLTBodyText"/>
    <w:rsid w:val="0030408B"/>
    <w:pPr>
      <w:keepNext/>
      <w:spacing w:before="240" w:line="300" w:lineRule="exact"/>
    </w:pPr>
    <w:rPr>
      <w:b/>
      <w:color w:val="044E71"/>
      <w:sz w:val="24"/>
    </w:rPr>
  </w:style>
  <w:style w:type="paragraph" w:customStyle="1" w:styleId="TLTTableText">
    <w:name w:val="TLT Table Text"/>
    <w:basedOn w:val="TLTBodyText"/>
    <w:rsid w:val="00D771E7"/>
    <w:pPr>
      <w:spacing w:before="120" w:after="120"/>
    </w:pPr>
  </w:style>
  <w:style w:type="paragraph" w:customStyle="1" w:styleId="TLTBullets">
    <w:name w:val="TLT Bullets"/>
    <w:basedOn w:val="Normal"/>
    <w:rsid w:val="002E435D"/>
    <w:pPr>
      <w:numPr>
        <w:numId w:val="14"/>
      </w:numPr>
      <w:spacing w:before="100" w:after="200"/>
      <w:ind w:left="720" w:hanging="720"/>
    </w:pPr>
    <w:rPr>
      <w:rFonts w:eastAsia="Times New Roman" w:cs="Times New Roman"/>
      <w:szCs w:val="24"/>
      <w:lang w:eastAsia="en-GB"/>
    </w:rPr>
  </w:style>
  <w:style w:type="character" w:customStyle="1" w:styleId="Heading1Char">
    <w:name w:val="Heading 1 Char"/>
    <w:basedOn w:val="DefaultParagraphFont"/>
    <w:link w:val="Heading1"/>
    <w:uiPriority w:val="9"/>
    <w:rsid w:val="00B830B4"/>
    <w:rPr>
      <w:rFonts w:asciiTheme="majorHAnsi" w:eastAsiaTheme="majorEastAsia" w:hAnsiTheme="majorHAnsi" w:cstheme="majorBidi"/>
      <w:b/>
      <w:bCs/>
      <w:color w:val="061722" w:themeColor="accent1" w:themeShade="BF"/>
      <w:sz w:val="28"/>
      <w:szCs w:val="28"/>
      <w:lang w:eastAsia="en-US"/>
    </w:rPr>
  </w:style>
  <w:style w:type="character" w:customStyle="1" w:styleId="Heading4Char">
    <w:name w:val="Heading 4 Char"/>
    <w:basedOn w:val="DefaultParagraphFont"/>
    <w:link w:val="Heading4"/>
    <w:uiPriority w:val="9"/>
    <w:rsid w:val="00B830B4"/>
    <w:rPr>
      <w:rFonts w:asciiTheme="majorHAnsi" w:eastAsiaTheme="majorEastAsia" w:hAnsiTheme="majorHAnsi" w:cstheme="majorBidi"/>
      <w:b/>
      <w:bCs/>
      <w:i/>
      <w:iCs/>
      <w:color w:val="09202E" w:themeColor="accent1"/>
      <w:lang w:eastAsia="en-US"/>
    </w:rPr>
  </w:style>
  <w:style w:type="character" w:customStyle="1" w:styleId="Heading5Char">
    <w:name w:val="Heading 5 Char"/>
    <w:basedOn w:val="DefaultParagraphFont"/>
    <w:link w:val="Heading5"/>
    <w:uiPriority w:val="9"/>
    <w:rsid w:val="00B830B4"/>
    <w:rPr>
      <w:rFonts w:asciiTheme="majorHAnsi" w:eastAsiaTheme="majorEastAsia" w:hAnsiTheme="majorHAnsi" w:cstheme="majorBidi"/>
      <w:color w:val="040F16" w:themeColor="accent1" w:themeShade="7F"/>
      <w:lang w:eastAsia="en-US"/>
    </w:rPr>
  </w:style>
  <w:style w:type="character" w:customStyle="1" w:styleId="Heading6Char">
    <w:name w:val="Heading 6 Char"/>
    <w:basedOn w:val="DefaultParagraphFont"/>
    <w:link w:val="Heading6"/>
    <w:uiPriority w:val="9"/>
    <w:rsid w:val="00B830B4"/>
    <w:rPr>
      <w:rFonts w:asciiTheme="majorHAnsi" w:eastAsiaTheme="majorEastAsia" w:hAnsiTheme="majorHAnsi" w:cstheme="majorBidi"/>
      <w:i/>
      <w:iCs/>
      <w:color w:val="040F16" w:themeColor="accent1" w:themeShade="7F"/>
      <w:lang w:eastAsia="en-US"/>
    </w:rPr>
  </w:style>
  <w:style w:type="character" w:customStyle="1" w:styleId="Heading7Char">
    <w:name w:val="Heading 7 Char"/>
    <w:basedOn w:val="DefaultParagraphFont"/>
    <w:link w:val="Heading7"/>
    <w:uiPriority w:val="9"/>
    <w:rsid w:val="00B830B4"/>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rsid w:val="00B830B4"/>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rsid w:val="00B830B4"/>
    <w:rPr>
      <w:rFonts w:asciiTheme="majorHAnsi" w:eastAsiaTheme="majorEastAsia" w:hAnsiTheme="majorHAnsi" w:cstheme="majorBidi"/>
      <w:i/>
      <w:iCs/>
      <w:color w:val="404040" w:themeColor="text1" w:themeTint="BF"/>
      <w:lang w:eastAsia="en-US"/>
    </w:rPr>
  </w:style>
  <w:style w:type="paragraph" w:customStyle="1" w:styleId="STNBodyText5">
    <w:name w:val="STN Body Text 5"/>
    <w:basedOn w:val="STNBodyText4"/>
    <w:rsid w:val="00703724"/>
    <w:pPr>
      <w:ind w:left="2523"/>
    </w:pPr>
  </w:style>
  <w:style w:type="paragraph" w:styleId="TOAHeading">
    <w:name w:val="toa heading"/>
    <w:basedOn w:val="Normal"/>
    <w:next w:val="Normal"/>
    <w:uiPriority w:val="99"/>
    <w:unhideWhenUsed/>
    <w:rsid w:val="00B830B4"/>
    <w:pPr>
      <w:overflowPunct w:val="0"/>
      <w:autoSpaceDE w:val="0"/>
      <w:autoSpaceDN w:val="0"/>
      <w:adjustRightInd w:val="0"/>
      <w:spacing w:before="120" w:after="240" w:line="360" w:lineRule="auto"/>
      <w:jc w:val="both"/>
      <w:textAlignment w:val="baseline"/>
    </w:pPr>
    <w:rPr>
      <w:rFonts w:ascii="Times New Roman" w:eastAsia="Times New Roman" w:hAnsi="Times New Roman" w:cs="Times New Roman"/>
      <w:b/>
      <w:sz w:val="22"/>
    </w:rPr>
  </w:style>
  <w:style w:type="paragraph" w:styleId="TOC4">
    <w:name w:val="toc 4"/>
    <w:uiPriority w:val="39"/>
    <w:unhideWhenUsed/>
    <w:rsid w:val="00B830B4"/>
    <w:pPr>
      <w:tabs>
        <w:tab w:val="left" w:pos="2880"/>
        <w:tab w:val="right" w:leader="dot" w:pos="9029"/>
      </w:tabs>
      <w:adjustRightInd w:val="0"/>
      <w:spacing w:after="120"/>
      <w:ind w:left="2880" w:hanging="720"/>
    </w:pPr>
    <w:rPr>
      <w:rFonts w:ascii="Times New Roman" w:eastAsia="STZhongsong" w:hAnsi="Times New Roman" w:cs="Times New Roman"/>
      <w:sz w:val="22"/>
      <w:lang w:eastAsia="zh-CN"/>
    </w:rPr>
  </w:style>
  <w:style w:type="paragraph" w:styleId="TOC5">
    <w:name w:val="toc 5"/>
    <w:uiPriority w:val="39"/>
    <w:unhideWhenUsed/>
    <w:rsid w:val="00B830B4"/>
    <w:pPr>
      <w:tabs>
        <w:tab w:val="left" w:pos="3600"/>
        <w:tab w:val="right" w:leader="dot" w:pos="9029"/>
      </w:tabs>
      <w:adjustRightInd w:val="0"/>
      <w:spacing w:after="120"/>
      <w:ind w:left="3600" w:hanging="720"/>
    </w:pPr>
    <w:rPr>
      <w:rFonts w:ascii="Times New Roman" w:eastAsia="STZhongsong" w:hAnsi="Times New Roman" w:cs="Times New Roman"/>
      <w:sz w:val="22"/>
      <w:lang w:eastAsia="zh-CN"/>
    </w:rPr>
  </w:style>
  <w:style w:type="paragraph" w:styleId="TOC6">
    <w:name w:val="toc 6"/>
    <w:uiPriority w:val="39"/>
    <w:unhideWhenUsed/>
    <w:rsid w:val="00B830B4"/>
    <w:pPr>
      <w:tabs>
        <w:tab w:val="left" w:pos="4320"/>
        <w:tab w:val="right" w:leader="dot" w:pos="9029"/>
      </w:tabs>
      <w:adjustRightInd w:val="0"/>
      <w:spacing w:after="120"/>
      <w:ind w:left="4320" w:hanging="720"/>
    </w:pPr>
    <w:rPr>
      <w:rFonts w:ascii="Times New Roman" w:eastAsia="STZhongsong" w:hAnsi="Times New Roman" w:cs="Times New Roman"/>
      <w:sz w:val="22"/>
      <w:lang w:eastAsia="zh-CN"/>
    </w:rPr>
  </w:style>
  <w:style w:type="paragraph" w:styleId="TOC7">
    <w:name w:val="toc 7"/>
    <w:uiPriority w:val="39"/>
    <w:unhideWhenUsed/>
    <w:rsid w:val="00B830B4"/>
    <w:pPr>
      <w:tabs>
        <w:tab w:val="left" w:pos="5040"/>
        <w:tab w:val="right" w:leader="dot" w:pos="9029"/>
      </w:tabs>
      <w:adjustRightInd w:val="0"/>
      <w:spacing w:after="120"/>
      <w:ind w:left="5040" w:hanging="720"/>
    </w:pPr>
    <w:rPr>
      <w:rFonts w:ascii="Times New Roman" w:eastAsia="STZhongsong" w:hAnsi="Times New Roman" w:cs="Times New Roman"/>
      <w:sz w:val="22"/>
      <w:lang w:eastAsia="zh-CN"/>
    </w:rPr>
  </w:style>
  <w:style w:type="paragraph" w:styleId="TOC8">
    <w:name w:val="toc 8"/>
    <w:uiPriority w:val="39"/>
    <w:unhideWhenUsed/>
    <w:rsid w:val="00B830B4"/>
    <w:pPr>
      <w:tabs>
        <w:tab w:val="right" w:leader="dot" w:pos="9029"/>
      </w:tabs>
      <w:adjustRightInd w:val="0"/>
      <w:spacing w:after="120"/>
    </w:pPr>
    <w:rPr>
      <w:rFonts w:ascii="Times New Roman" w:eastAsia="STZhongsong" w:hAnsi="Times New Roman" w:cs="Times New Roman"/>
      <w:caps/>
      <w:sz w:val="22"/>
      <w:lang w:eastAsia="zh-CN"/>
    </w:rPr>
  </w:style>
  <w:style w:type="paragraph" w:styleId="TOC9">
    <w:name w:val="toc 9"/>
    <w:uiPriority w:val="39"/>
    <w:unhideWhenUsed/>
    <w:rsid w:val="00B830B4"/>
    <w:pPr>
      <w:tabs>
        <w:tab w:val="right" w:leader="dot" w:pos="9029"/>
      </w:tabs>
      <w:adjustRightInd w:val="0"/>
      <w:spacing w:after="120"/>
      <w:ind w:left="720"/>
    </w:pPr>
    <w:rPr>
      <w:rFonts w:ascii="Times New Roman" w:eastAsia="STZhongsong" w:hAnsi="Times New Roman" w:cs="Times New Roman"/>
      <w:sz w:val="22"/>
      <w:lang w:eastAsia="zh-CN"/>
    </w:rPr>
  </w:style>
  <w:style w:type="numbering" w:customStyle="1" w:styleId="TLTScheduletext">
    <w:name w:val="TLT Schedule text"/>
    <w:uiPriority w:val="99"/>
    <w:rsid w:val="00B830B4"/>
    <w:pPr>
      <w:numPr>
        <w:numId w:val="15"/>
      </w:numPr>
    </w:pPr>
  </w:style>
  <w:style w:type="paragraph" w:customStyle="1" w:styleId="TLTBodyText6">
    <w:name w:val="TLT Body Text 6"/>
    <w:basedOn w:val="TLTBodyText5"/>
    <w:rsid w:val="00B830B4"/>
  </w:style>
  <w:style w:type="paragraph" w:customStyle="1" w:styleId="TLTBodyText7">
    <w:name w:val="TLT Body Text 7"/>
    <w:basedOn w:val="TLTBodyText6"/>
    <w:rsid w:val="00B830B4"/>
    <w:pPr>
      <w:ind w:left="3243"/>
    </w:pPr>
  </w:style>
  <w:style w:type="paragraph" w:customStyle="1" w:styleId="TLTLevel6">
    <w:name w:val="TLT Level 6"/>
    <w:basedOn w:val="TLTLevel5"/>
    <w:rsid w:val="00B830B4"/>
    <w:pPr>
      <w:numPr>
        <w:ilvl w:val="0"/>
        <w:numId w:val="0"/>
      </w:numPr>
      <w:tabs>
        <w:tab w:val="clear" w:pos="2523"/>
      </w:tabs>
      <w:ind w:left="2523" w:hanging="720"/>
    </w:pPr>
  </w:style>
  <w:style w:type="paragraph" w:customStyle="1" w:styleId="TLTLevel7">
    <w:name w:val="TLT Level 7"/>
    <w:basedOn w:val="TLTLevel6"/>
    <w:rsid w:val="00B830B4"/>
    <w:pPr>
      <w:ind w:left="3243"/>
    </w:pPr>
  </w:style>
  <w:style w:type="paragraph" w:customStyle="1" w:styleId="STNBodyTextBold">
    <w:name w:val="STN Body Text Bold"/>
    <w:basedOn w:val="Normal"/>
    <w:next w:val="STNBodyText"/>
    <w:link w:val="STNBodyTextBoldChar"/>
    <w:rsid w:val="00703724"/>
    <w:pPr>
      <w:spacing w:before="100" w:after="200"/>
    </w:pPr>
    <w:rPr>
      <w:rFonts w:eastAsia="Times New Roman" w:cs="Times New Roman"/>
      <w:b/>
      <w:szCs w:val="24"/>
      <w:lang w:eastAsia="en-GB"/>
    </w:rPr>
  </w:style>
  <w:style w:type="paragraph" w:customStyle="1" w:styleId="Centered">
    <w:name w:val="Centered"/>
    <w:basedOn w:val="Normal"/>
    <w:next w:val="STNBodyText"/>
    <w:rsid w:val="00703724"/>
    <w:pPr>
      <w:spacing w:before="100" w:after="200"/>
      <w:jc w:val="center"/>
    </w:pPr>
    <w:rPr>
      <w:rFonts w:eastAsia="Times New Roman" w:cs="Times New Roman"/>
      <w:szCs w:val="24"/>
      <w:lang w:eastAsia="en-GB"/>
    </w:rPr>
  </w:style>
  <w:style w:type="paragraph" w:customStyle="1" w:styleId="Centre">
    <w:name w:val="Centre"/>
    <w:basedOn w:val="Normal"/>
    <w:next w:val="CourtParties"/>
    <w:rsid w:val="00703724"/>
    <w:pPr>
      <w:spacing w:before="100" w:after="600"/>
      <w:jc w:val="center"/>
    </w:pPr>
    <w:rPr>
      <w:rFonts w:eastAsia="Times New Roman" w:cs="Times New Roman"/>
      <w:szCs w:val="24"/>
      <w:lang w:eastAsia="en-GB"/>
    </w:rPr>
  </w:style>
  <w:style w:type="paragraph" w:customStyle="1" w:styleId="CentreBack">
    <w:name w:val="Centre Back"/>
    <w:basedOn w:val="Normal"/>
    <w:next w:val="CourtPartiesBack"/>
    <w:rsid w:val="00703724"/>
    <w:pPr>
      <w:spacing w:before="100" w:after="600"/>
    </w:pPr>
    <w:rPr>
      <w:rFonts w:eastAsia="Times New Roman" w:cs="Times New Roman"/>
      <w:szCs w:val="24"/>
      <w:lang w:eastAsia="en-GB"/>
    </w:rPr>
  </w:style>
  <w:style w:type="paragraph" w:customStyle="1" w:styleId="ContentsHeading">
    <w:name w:val="Contents Heading"/>
    <w:basedOn w:val="Normal"/>
    <w:next w:val="ContentsSubHeading"/>
    <w:uiPriority w:val="99"/>
    <w:rsid w:val="00703724"/>
    <w:pPr>
      <w:spacing w:before="100" w:after="200"/>
      <w:jc w:val="center"/>
    </w:pPr>
    <w:rPr>
      <w:rFonts w:eastAsia="Times New Roman" w:cs="Times New Roman"/>
      <w:b/>
      <w:szCs w:val="24"/>
      <w:lang w:eastAsia="en-GB"/>
    </w:rPr>
  </w:style>
  <w:style w:type="paragraph" w:customStyle="1" w:styleId="ContentsSubHeading">
    <w:name w:val="Contents Sub Heading"/>
    <w:basedOn w:val="Normal"/>
    <w:next w:val="STNBodyText"/>
    <w:uiPriority w:val="99"/>
    <w:rsid w:val="00703724"/>
    <w:pPr>
      <w:spacing w:before="400" w:after="200"/>
    </w:pPr>
    <w:rPr>
      <w:rFonts w:eastAsia="Times New Roman" w:cs="Times New Roman"/>
      <w:b/>
      <w:szCs w:val="24"/>
      <w:lang w:eastAsia="en-GB"/>
    </w:rPr>
  </w:style>
  <w:style w:type="paragraph" w:customStyle="1" w:styleId="CourtDetails">
    <w:name w:val="Court Details"/>
    <w:basedOn w:val="Normal"/>
    <w:rsid w:val="00703724"/>
    <w:pPr>
      <w:spacing w:before="100" w:after="200"/>
    </w:pPr>
    <w:rPr>
      <w:rFonts w:eastAsia="Times New Roman" w:cs="Times New Roman"/>
      <w:b/>
      <w:caps/>
      <w:szCs w:val="24"/>
      <w:lang w:eastAsia="en-GB"/>
    </w:rPr>
  </w:style>
  <w:style w:type="paragraph" w:customStyle="1" w:styleId="CourtHeading">
    <w:name w:val="Court Heading"/>
    <w:basedOn w:val="Normal"/>
    <w:rsid w:val="00703724"/>
    <w:pPr>
      <w:spacing w:before="100" w:after="200"/>
      <w:jc w:val="center"/>
    </w:pPr>
    <w:rPr>
      <w:rFonts w:eastAsia="Times New Roman" w:cs="Times New Roman"/>
      <w:b/>
      <w:caps/>
      <w:szCs w:val="24"/>
      <w:lang w:eastAsia="en-GB"/>
    </w:rPr>
  </w:style>
  <w:style w:type="paragraph" w:customStyle="1" w:styleId="CourtParties">
    <w:name w:val="Court Parties"/>
    <w:basedOn w:val="Normal"/>
    <w:next w:val="Litigant"/>
    <w:rsid w:val="00703724"/>
    <w:pPr>
      <w:spacing w:before="100" w:after="200"/>
      <w:jc w:val="center"/>
    </w:pPr>
    <w:rPr>
      <w:rFonts w:eastAsia="Times New Roman" w:cs="Times New Roman"/>
      <w:b/>
      <w:caps/>
      <w:szCs w:val="24"/>
      <w:lang w:eastAsia="en-GB"/>
    </w:rPr>
  </w:style>
  <w:style w:type="paragraph" w:customStyle="1" w:styleId="CourtPartiesBack">
    <w:name w:val="Court Parties Back"/>
    <w:basedOn w:val="Normal"/>
    <w:next w:val="Litigant"/>
    <w:rsid w:val="00703724"/>
    <w:pPr>
      <w:spacing w:before="100" w:after="200"/>
    </w:pPr>
    <w:rPr>
      <w:rFonts w:eastAsia="Times New Roman" w:cs="Times New Roman"/>
      <w:b/>
      <w:caps/>
      <w:szCs w:val="24"/>
      <w:lang w:eastAsia="en-GB"/>
    </w:rPr>
  </w:style>
  <w:style w:type="paragraph" w:customStyle="1" w:styleId="CourtReference">
    <w:name w:val="Court Reference"/>
    <w:basedOn w:val="Normal"/>
    <w:next w:val="CourtDetails"/>
    <w:rsid w:val="00703724"/>
    <w:pPr>
      <w:spacing w:before="100" w:after="200"/>
      <w:jc w:val="right"/>
    </w:pPr>
    <w:rPr>
      <w:rFonts w:eastAsia="Times New Roman" w:cs="Times New Roman"/>
      <w:b/>
      <w:caps/>
      <w:szCs w:val="24"/>
      <w:lang w:eastAsia="en-GB"/>
    </w:rPr>
  </w:style>
  <w:style w:type="paragraph" w:customStyle="1" w:styleId="CoverDetails">
    <w:name w:val="Cover Details"/>
    <w:basedOn w:val="Normal"/>
    <w:rsid w:val="00703724"/>
    <w:pPr>
      <w:tabs>
        <w:tab w:val="left" w:pos="3612"/>
      </w:tabs>
      <w:spacing w:before="100" w:after="200"/>
    </w:pPr>
    <w:rPr>
      <w:rFonts w:eastAsia="Times New Roman" w:cs="Times New Roman"/>
      <w:szCs w:val="24"/>
      <w:lang w:eastAsia="en-GB"/>
    </w:rPr>
  </w:style>
  <w:style w:type="paragraph" w:customStyle="1" w:styleId="DefinitionList">
    <w:name w:val="Definition List"/>
    <w:basedOn w:val="Normal"/>
    <w:uiPriority w:val="99"/>
    <w:rsid w:val="00703724"/>
    <w:pPr>
      <w:numPr>
        <w:numId w:val="25"/>
      </w:numPr>
      <w:spacing w:before="100" w:after="200"/>
    </w:pPr>
    <w:rPr>
      <w:rFonts w:eastAsia="Times New Roman" w:cs="Times New Roman"/>
      <w:szCs w:val="24"/>
      <w:lang w:eastAsia="en-GB"/>
    </w:rPr>
  </w:style>
  <w:style w:type="paragraph" w:customStyle="1" w:styleId="Delivery">
    <w:name w:val="Delivery"/>
    <w:basedOn w:val="Normal"/>
    <w:rsid w:val="00703724"/>
    <w:pPr>
      <w:spacing w:before="600" w:after="400"/>
    </w:pPr>
    <w:rPr>
      <w:rFonts w:eastAsia="Times New Roman" w:cs="Times New Roman"/>
      <w:b/>
      <w:szCs w:val="24"/>
      <w:lang w:eastAsia="en-GB"/>
    </w:rPr>
  </w:style>
  <w:style w:type="paragraph" w:customStyle="1" w:styleId="Details">
    <w:name w:val="Details"/>
    <w:basedOn w:val="Normal"/>
    <w:rsid w:val="00703724"/>
    <w:pPr>
      <w:spacing w:line="300" w:lineRule="exact"/>
    </w:pPr>
    <w:rPr>
      <w:rFonts w:eastAsia="Times New Roman" w:cs="Times New Roman"/>
      <w:szCs w:val="24"/>
      <w:lang w:eastAsia="en-GB"/>
    </w:rPr>
  </w:style>
  <w:style w:type="paragraph" w:customStyle="1" w:styleId="DocRef">
    <w:name w:val="Doc Ref"/>
    <w:basedOn w:val="Normal"/>
    <w:rsid w:val="00703724"/>
    <w:rPr>
      <w:rFonts w:eastAsia="Times New Roman" w:cs="Times New Roman"/>
      <w:sz w:val="12"/>
      <w:szCs w:val="24"/>
      <w:lang w:eastAsia="en-GB"/>
    </w:rPr>
  </w:style>
  <w:style w:type="paragraph" w:customStyle="1" w:styleId="Enc">
    <w:name w:val="Enc"/>
    <w:basedOn w:val="Normal"/>
    <w:rsid w:val="00703724"/>
    <w:pPr>
      <w:tabs>
        <w:tab w:val="left" w:pos="720"/>
      </w:tabs>
    </w:pPr>
    <w:rPr>
      <w:rFonts w:eastAsia="Times New Roman" w:cs="Times New Roman"/>
      <w:szCs w:val="24"/>
      <w:lang w:eastAsia="en-GB"/>
    </w:rPr>
  </w:style>
  <w:style w:type="paragraph" w:customStyle="1" w:styleId="Execution">
    <w:name w:val="Execution"/>
    <w:basedOn w:val="Normal"/>
    <w:rsid w:val="00703724"/>
    <w:pPr>
      <w:spacing w:before="100" w:after="200"/>
    </w:pPr>
    <w:rPr>
      <w:rFonts w:eastAsia="Times New Roman" w:cs="Times New Roman"/>
      <w:sz w:val="16"/>
      <w:szCs w:val="24"/>
      <w:lang w:eastAsia="en-GB"/>
    </w:rPr>
  </w:style>
  <w:style w:type="paragraph" w:customStyle="1" w:styleId="FaxStatus">
    <w:name w:val="Fax Status"/>
    <w:basedOn w:val="Normal"/>
    <w:rsid w:val="00703724"/>
    <w:pPr>
      <w:spacing w:before="200"/>
    </w:pPr>
    <w:rPr>
      <w:rFonts w:eastAsia="Times New Roman" w:cs="Times New Roman"/>
      <w:b/>
      <w:szCs w:val="24"/>
      <w:lang w:eastAsia="en-GB"/>
    </w:rPr>
  </w:style>
  <w:style w:type="paragraph" w:customStyle="1" w:styleId="FaxSubject">
    <w:name w:val="Fax Subject"/>
    <w:basedOn w:val="Normal"/>
    <w:rsid w:val="00703724"/>
    <w:pPr>
      <w:spacing w:before="200"/>
    </w:pPr>
    <w:rPr>
      <w:rFonts w:eastAsia="Times New Roman" w:cs="Times New Roman"/>
      <w:b/>
      <w:szCs w:val="24"/>
      <w:lang w:eastAsia="en-GB"/>
    </w:rPr>
  </w:style>
  <w:style w:type="paragraph" w:customStyle="1" w:styleId="STNHeading1">
    <w:name w:val="STN Heading 1"/>
    <w:basedOn w:val="Normal"/>
    <w:next w:val="STNBodyText"/>
    <w:rsid w:val="00703724"/>
    <w:pPr>
      <w:keepNext/>
      <w:spacing w:before="300" w:after="100"/>
    </w:pPr>
    <w:rPr>
      <w:rFonts w:eastAsia="Times New Roman" w:cs="Times New Roman"/>
      <w:b/>
      <w:szCs w:val="24"/>
      <w:lang w:eastAsia="en-GB"/>
    </w:rPr>
  </w:style>
  <w:style w:type="paragraph" w:customStyle="1" w:styleId="STNHeading2">
    <w:name w:val="STN Heading 2"/>
    <w:basedOn w:val="Normal"/>
    <w:next w:val="STNBodyText"/>
    <w:rsid w:val="00703724"/>
    <w:pPr>
      <w:keepNext/>
      <w:spacing w:before="100" w:after="200"/>
    </w:pPr>
    <w:rPr>
      <w:rFonts w:eastAsia="Times New Roman" w:cs="Times New Roman"/>
      <w:i/>
      <w:szCs w:val="24"/>
      <w:lang w:eastAsia="en-GB"/>
    </w:rPr>
  </w:style>
  <w:style w:type="paragraph" w:customStyle="1" w:styleId="LegalReportHeading">
    <w:name w:val="Legal Report Heading"/>
    <w:basedOn w:val="Normal"/>
    <w:next w:val="STNBodyText"/>
    <w:rsid w:val="00703724"/>
    <w:pPr>
      <w:spacing w:before="100" w:after="200"/>
      <w:jc w:val="center"/>
    </w:pPr>
    <w:rPr>
      <w:rFonts w:eastAsia="Times New Roman" w:cs="Times New Roman"/>
      <w:b/>
      <w:szCs w:val="24"/>
      <w:lang w:eastAsia="en-GB"/>
    </w:rPr>
  </w:style>
  <w:style w:type="paragraph" w:customStyle="1" w:styleId="LetterTitle">
    <w:name w:val="Letter Title"/>
    <w:basedOn w:val="Normal"/>
    <w:next w:val="STNBodyText"/>
    <w:rsid w:val="00703724"/>
    <w:pPr>
      <w:spacing w:before="100" w:after="200"/>
    </w:pPr>
    <w:rPr>
      <w:rFonts w:eastAsia="Times New Roman" w:cs="Times New Roman"/>
      <w:b/>
      <w:szCs w:val="24"/>
      <w:lang w:eastAsia="en-GB"/>
    </w:rPr>
  </w:style>
  <w:style w:type="paragraph" w:customStyle="1" w:styleId="Level2">
    <w:name w:val="Level 2"/>
    <w:basedOn w:val="Level1"/>
    <w:next w:val="STNBodyText2"/>
    <w:link w:val="Level2Char"/>
    <w:rsid w:val="00703724"/>
  </w:style>
  <w:style w:type="paragraph" w:customStyle="1" w:styleId="Level3">
    <w:name w:val="Level 3"/>
    <w:basedOn w:val="Level2"/>
    <w:next w:val="STNBodyText3"/>
    <w:link w:val="Level3Char"/>
    <w:rsid w:val="00703724"/>
    <w:pPr>
      <w:tabs>
        <w:tab w:val="left" w:pos="1803"/>
      </w:tabs>
      <w:ind w:left="1803" w:hanging="1083"/>
    </w:pPr>
  </w:style>
  <w:style w:type="paragraph" w:customStyle="1" w:styleId="Level4">
    <w:name w:val="Level 4"/>
    <w:basedOn w:val="Level3"/>
    <w:next w:val="STNBodyText4"/>
    <w:rsid w:val="00703724"/>
  </w:style>
  <w:style w:type="paragraph" w:customStyle="1" w:styleId="Level5">
    <w:name w:val="Level 5"/>
    <w:basedOn w:val="Level4"/>
    <w:next w:val="STNBodyText5"/>
    <w:rsid w:val="00703724"/>
    <w:pPr>
      <w:tabs>
        <w:tab w:val="left" w:pos="2523"/>
      </w:tabs>
      <w:ind w:left="2523" w:hanging="720"/>
    </w:pPr>
  </w:style>
  <w:style w:type="character" w:customStyle="1" w:styleId="STNBodyTextBoldChar">
    <w:name w:val="STN Body Text Bold Char"/>
    <w:basedOn w:val="DefaultParagraphFont"/>
    <w:link w:val="STNBodyTextBold"/>
    <w:rsid w:val="00703724"/>
    <w:rPr>
      <w:rFonts w:eastAsia="Times New Roman" w:cs="Times New Roman"/>
      <w:b/>
      <w:szCs w:val="24"/>
    </w:rPr>
  </w:style>
  <w:style w:type="paragraph" w:customStyle="1" w:styleId="Litigant">
    <w:name w:val="Litigant"/>
    <w:basedOn w:val="Normal"/>
    <w:next w:val="Centre"/>
    <w:rsid w:val="00703724"/>
    <w:pPr>
      <w:spacing w:before="100" w:after="200"/>
      <w:jc w:val="right"/>
    </w:pPr>
    <w:rPr>
      <w:rFonts w:eastAsia="Times New Roman" w:cs="Times New Roman"/>
      <w:szCs w:val="24"/>
      <w:lang w:eastAsia="en-GB"/>
    </w:rPr>
  </w:style>
  <w:style w:type="paragraph" w:customStyle="1" w:styleId="STNLLP">
    <w:name w:val="STN LLP"/>
    <w:basedOn w:val="Normal"/>
    <w:next w:val="Enc"/>
    <w:rsid w:val="00703724"/>
    <w:pPr>
      <w:spacing w:after="200"/>
    </w:pPr>
    <w:rPr>
      <w:rFonts w:eastAsia="Times New Roman" w:cs="Times New Roman"/>
      <w:szCs w:val="24"/>
      <w:lang w:eastAsia="en-GB"/>
    </w:rPr>
  </w:style>
  <w:style w:type="paragraph" w:customStyle="1" w:styleId="STNLPC">
    <w:name w:val="STN LPC"/>
    <w:basedOn w:val="Normal"/>
    <w:next w:val="STNBodyText"/>
    <w:rsid w:val="00703724"/>
    <w:pPr>
      <w:spacing w:before="100" w:after="200"/>
    </w:pPr>
    <w:rPr>
      <w:rFonts w:eastAsia="Times New Roman" w:cs="Times New Roman"/>
      <w:sz w:val="24"/>
      <w:szCs w:val="24"/>
      <w:lang w:eastAsia="en-GB"/>
    </w:rPr>
  </w:style>
  <w:style w:type="paragraph" w:customStyle="1" w:styleId="PartHeading">
    <w:name w:val="Part Heading"/>
    <w:basedOn w:val="Normal"/>
    <w:next w:val="STNBodyText"/>
    <w:rsid w:val="00703724"/>
    <w:pPr>
      <w:spacing w:after="200"/>
    </w:pPr>
    <w:rPr>
      <w:rFonts w:eastAsia="Times New Roman" w:cs="Times New Roman"/>
      <w:b/>
      <w:szCs w:val="24"/>
      <w:lang w:eastAsia="en-GB"/>
    </w:rPr>
  </w:style>
  <w:style w:type="paragraph" w:customStyle="1" w:styleId="PartiesBodyText">
    <w:name w:val="Parties Body Text"/>
    <w:basedOn w:val="Normal"/>
    <w:rsid w:val="00703724"/>
    <w:pPr>
      <w:spacing w:before="100" w:after="200"/>
      <w:ind w:left="720" w:hanging="720"/>
    </w:pPr>
    <w:rPr>
      <w:rFonts w:eastAsia="Times New Roman" w:cs="Times New Roman"/>
      <w:szCs w:val="24"/>
      <w:lang w:eastAsia="en-GB"/>
    </w:rPr>
  </w:style>
  <w:style w:type="paragraph" w:customStyle="1" w:styleId="PartiesFrontSheet">
    <w:name w:val="Parties Front Sheet"/>
    <w:basedOn w:val="Normal"/>
    <w:rsid w:val="00703724"/>
    <w:pPr>
      <w:ind w:left="720" w:hanging="720"/>
    </w:pPr>
    <w:rPr>
      <w:rFonts w:eastAsia="Times New Roman" w:cs="Times New Roman"/>
      <w:szCs w:val="24"/>
      <w:lang w:eastAsia="en-GB"/>
    </w:rPr>
  </w:style>
  <w:style w:type="paragraph" w:customStyle="1" w:styleId="Recitals">
    <w:name w:val="Recitals"/>
    <w:basedOn w:val="Normal"/>
    <w:rsid w:val="00703724"/>
    <w:pPr>
      <w:tabs>
        <w:tab w:val="num" w:pos="720"/>
      </w:tabs>
      <w:spacing w:before="100" w:after="100"/>
      <w:ind w:left="720" w:hanging="720"/>
    </w:pPr>
    <w:rPr>
      <w:rFonts w:eastAsia="Times New Roman" w:cs="Times New Roman"/>
      <w:szCs w:val="24"/>
      <w:lang w:eastAsia="en-GB"/>
    </w:rPr>
  </w:style>
  <w:style w:type="paragraph" w:customStyle="1" w:styleId="Reference">
    <w:name w:val="Reference"/>
    <w:basedOn w:val="Normal"/>
    <w:rsid w:val="00703724"/>
    <w:pPr>
      <w:tabs>
        <w:tab w:val="left" w:pos="1077"/>
      </w:tabs>
    </w:pPr>
    <w:rPr>
      <w:rFonts w:eastAsia="Times New Roman" w:cs="Times New Roman"/>
      <w:sz w:val="16"/>
      <w:szCs w:val="24"/>
      <w:lang w:eastAsia="en-GB"/>
    </w:rPr>
  </w:style>
  <w:style w:type="paragraph" w:customStyle="1" w:styleId="SchedulePartHeading">
    <w:name w:val="Schedule Part Heading"/>
    <w:basedOn w:val="PartHeading"/>
    <w:next w:val="ScheduleSubHeading"/>
    <w:rsid w:val="00703724"/>
    <w:pPr>
      <w:spacing w:before="100" w:after="300"/>
      <w:jc w:val="center"/>
    </w:pPr>
  </w:style>
  <w:style w:type="paragraph" w:customStyle="1" w:styleId="ScheduleSubHeading">
    <w:name w:val="Schedule Sub Heading"/>
    <w:basedOn w:val="Normal"/>
    <w:next w:val="PartHeading"/>
    <w:rsid w:val="00703724"/>
    <w:pPr>
      <w:spacing w:before="100" w:after="300"/>
      <w:jc w:val="center"/>
    </w:pPr>
    <w:rPr>
      <w:rFonts w:eastAsia="Times New Roman" w:cs="Times New Roman"/>
      <w:b/>
      <w:szCs w:val="24"/>
      <w:lang w:eastAsia="en-GB"/>
    </w:rPr>
  </w:style>
  <w:style w:type="paragraph" w:customStyle="1" w:styleId="ScheduleText1">
    <w:name w:val="Schedule Text 1"/>
    <w:basedOn w:val="Normal"/>
    <w:next w:val="STNBodyText1"/>
    <w:rsid w:val="00703724"/>
    <w:pPr>
      <w:spacing w:before="100" w:after="200"/>
      <w:ind w:left="720" w:hanging="720"/>
    </w:pPr>
    <w:rPr>
      <w:rFonts w:eastAsia="Times New Roman" w:cs="Times New Roman"/>
      <w:szCs w:val="24"/>
      <w:lang w:eastAsia="en-GB"/>
    </w:rPr>
  </w:style>
  <w:style w:type="paragraph" w:customStyle="1" w:styleId="ScheduleText2">
    <w:name w:val="Schedule Text 2"/>
    <w:basedOn w:val="ScheduleText1"/>
    <w:next w:val="STNBodyText2"/>
    <w:rsid w:val="00703724"/>
  </w:style>
  <w:style w:type="paragraph" w:customStyle="1" w:styleId="ScheduleText3">
    <w:name w:val="Schedule Text 3"/>
    <w:basedOn w:val="Level3"/>
    <w:next w:val="STNBodyText3"/>
    <w:rsid w:val="00703724"/>
  </w:style>
  <w:style w:type="paragraph" w:customStyle="1" w:styleId="ScheduleText4">
    <w:name w:val="Schedule Text 4"/>
    <w:basedOn w:val="Level4"/>
    <w:next w:val="STNBodyText4"/>
    <w:rsid w:val="00703724"/>
  </w:style>
  <w:style w:type="paragraph" w:customStyle="1" w:styleId="ScheduleText5">
    <w:name w:val="Schedule Text 5"/>
    <w:basedOn w:val="Level5"/>
    <w:next w:val="STNBodyText5"/>
    <w:rsid w:val="00703724"/>
    <w:pPr>
      <w:tabs>
        <w:tab w:val="clear" w:pos="1803"/>
      </w:tabs>
    </w:pPr>
  </w:style>
  <w:style w:type="paragraph" w:customStyle="1" w:styleId="SetInformation">
    <w:name w:val="Set Information"/>
    <w:basedOn w:val="Normal"/>
    <w:rsid w:val="00703724"/>
    <w:pPr>
      <w:spacing w:line="300" w:lineRule="exact"/>
    </w:pPr>
    <w:rPr>
      <w:rFonts w:eastAsia="Times New Roman" w:cs="Times New Roman"/>
      <w:sz w:val="16"/>
      <w:szCs w:val="24"/>
      <w:lang w:eastAsia="en-GB"/>
    </w:rPr>
  </w:style>
  <w:style w:type="paragraph" w:customStyle="1" w:styleId="STNSignature">
    <w:name w:val="STN Signature"/>
    <w:basedOn w:val="Normal"/>
    <w:rsid w:val="00703724"/>
    <w:rPr>
      <w:rFonts w:eastAsia="Times New Roman" w:cs="Times New Roman"/>
      <w:b/>
      <w:szCs w:val="24"/>
      <w:lang w:eastAsia="en-GB"/>
    </w:rPr>
  </w:style>
  <w:style w:type="paragraph" w:customStyle="1" w:styleId="Status">
    <w:name w:val="Status"/>
    <w:basedOn w:val="Normal"/>
    <w:next w:val="STNBodyText"/>
    <w:rsid w:val="00703724"/>
    <w:pPr>
      <w:spacing w:before="200" w:after="400"/>
    </w:pPr>
    <w:rPr>
      <w:rFonts w:eastAsia="Times New Roman" w:cs="Times New Roman"/>
      <w:b/>
      <w:szCs w:val="24"/>
      <w:lang w:eastAsia="en-GB"/>
    </w:rPr>
  </w:style>
  <w:style w:type="paragraph" w:customStyle="1" w:styleId="SubTitle">
    <w:name w:val="Sub Title"/>
    <w:basedOn w:val="Normal"/>
    <w:link w:val="SubTitleChar"/>
    <w:rsid w:val="00703724"/>
    <w:pPr>
      <w:spacing w:before="100" w:after="200"/>
    </w:pPr>
    <w:rPr>
      <w:rFonts w:eastAsia="Times New Roman" w:cs="Times New Roman"/>
      <w:sz w:val="28"/>
      <w:szCs w:val="24"/>
      <w:lang w:eastAsia="en-GB"/>
    </w:rPr>
  </w:style>
  <w:style w:type="paragraph" w:customStyle="1" w:styleId="Subject">
    <w:name w:val="Subject"/>
    <w:basedOn w:val="Normal"/>
    <w:rsid w:val="00703724"/>
    <w:pPr>
      <w:spacing w:before="400" w:after="300"/>
    </w:pPr>
    <w:rPr>
      <w:rFonts w:eastAsia="Times New Roman" w:cs="Times New Roman"/>
      <w:b/>
      <w:szCs w:val="24"/>
      <w:lang w:eastAsia="en-GB"/>
    </w:rPr>
  </w:style>
  <w:style w:type="paragraph" w:customStyle="1" w:styleId="Template">
    <w:name w:val="Template"/>
    <w:basedOn w:val="Normal"/>
    <w:rsid w:val="00703724"/>
    <w:pPr>
      <w:spacing w:before="500" w:after="400"/>
    </w:pPr>
    <w:rPr>
      <w:rFonts w:eastAsia="Times New Roman" w:cs="Times New Roman"/>
      <w:b/>
      <w:sz w:val="36"/>
      <w:szCs w:val="24"/>
      <w:lang w:eastAsia="en-GB"/>
    </w:rPr>
  </w:style>
  <w:style w:type="paragraph" w:customStyle="1" w:styleId="STNTitle">
    <w:name w:val="STNTitle"/>
    <w:basedOn w:val="Normal"/>
    <w:rsid w:val="00703724"/>
    <w:pPr>
      <w:spacing w:before="100" w:after="200"/>
    </w:pPr>
    <w:rPr>
      <w:rFonts w:eastAsia="Times New Roman" w:cs="Times New Roman"/>
      <w:b/>
      <w:sz w:val="36"/>
      <w:szCs w:val="24"/>
      <w:lang w:eastAsia="en-GB"/>
    </w:rPr>
  </w:style>
  <w:style w:type="paragraph" w:customStyle="1" w:styleId="BulletsLevel1">
    <w:name w:val="Bullets Level 1"/>
    <w:basedOn w:val="STNBodyText1"/>
    <w:rsid w:val="00703724"/>
    <w:pPr>
      <w:numPr>
        <w:ilvl w:val="1"/>
        <w:numId w:val="26"/>
      </w:numPr>
      <w:tabs>
        <w:tab w:val="left" w:pos="1797"/>
      </w:tabs>
      <w:ind w:left="0" w:firstLine="0"/>
    </w:pPr>
  </w:style>
  <w:style w:type="character" w:customStyle="1" w:styleId="SubTitleChar">
    <w:name w:val="Sub Title Char"/>
    <w:link w:val="SubTitle"/>
    <w:rsid w:val="00703724"/>
    <w:rPr>
      <w:rFonts w:eastAsia="Times New Roman" w:cs="Times New Roman"/>
      <w:sz w:val="28"/>
      <w:szCs w:val="24"/>
    </w:rPr>
  </w:style>
  <w:style w:type="paragraph" w:customStyle="1" w:styleId="Parties">
    <w:name w:val="Parties"/>
    <w:basedOn w:val="Normal"/>
    <w:rsid w:val="00703724"/>
    <w:pPr>
      <w:ind w:left="720" w:hanging="720"/>
    </w:pPr>
    <w:rPr>
      <w:rFonts w:cs="Arial"/>
    </w:rPr>
  </w:style>
  <w:style w:type="character" w:customStyle="1" w:styleId="Level2Char">
    <w:name w:val="Level 2 Char"/>
    <w:link w:val="Level2"/>
    <w:locked/>
    <w:rsid w:val="00703724"/>
    <w:rPr>
      <w:rFonts w:eastAsia="Times New Roman" w:cs="Times New Roman"/>
      <w:szCs w:val="24"/>
    </w:rPr>
  </w:style>
  <w:style w:type="character" w:customStyle="1" w:styleId="STNBodyTextChar">
    <w:name w:val="STN Body Text Char"/>
    <w:link w:val="STNBodyText"/>
    <w:rsid w:val="00703724"/>
    <w:rPr>
      <w:rFonts w:eastAsia="Times New Roman" w:cs="Times New Roman"/>
      <w:szCs w:val="24"/>
    </w:rPr>
  </w:style>
  <w:style w:type="character" w:styleId="Emphasis">
    <w:name w:val="Emphasis"/>
    <w:uiPriority w:val="20"/>
    <w:semiHidden/>
    <w:qFormat/>
    <w:rsid w:val="00703724"/>
    <w:rPr>
      <w:i/>
      <w:iCs/>
    </w:rPr>
  </w:style>
  <w:style w:type="character" w:styleId="Strong">
    <w:name w:val="Strong"/>
    <w:uiPriority w:val="22"/>
    <w:semiHidden/>
    <w:qFormat/>
    <w:rsid w:val="00703724"/>
    <w:rPr>
      <w:b/>
      <w:bCs/>
    </w:rPr>
  </w:style>
  <w:style w:type="character" w:customStyle="1" w:styleId="STNBodyText1Char">
    <w:name w:val="STN Body Text 1 Char"/>
    <w:basedOn w:val="STNBodyTextChar"/>
    <w:link w:val="STNBodyText1"/>
    <w:rsid w:val="00703724"/>
    <w:rPr>
      <w:rFonts w:eastAsia="Times New Roman" w:cs="Times New Roman"/>
      <w:szCs w:val="24"/>
    </w:rPr>
  </w:style>
  <w:style w:type="character" w:customStyle="1" w:styleId="STNBodyText2Char">
    <w:name w:val="STN Body Text 2 Char"/>
    <w:basedOn w:val="STNBodyText1Char"/>
    <w:link w:val="STNBodyText2"/>
    <w:rsid w:val="00703724"/>
    <w:rPr>
      <w:rFonts w:eastAsia="Times New Roman" w:cs="Times New Roman"/>
      <w:szCs w:val="24"/>
    </w:rPr>
  </w:style>
  <w:style w:type="character" w:customStyle="1" w:styleId="Level3Char">
    <w:name w:val="Level 3 Char"/>
    <w:basedOn w:val="STNBodyText2Char"/>
    <w:link w:val="Level3"/>
    <w:rsid w:val="00703724"/>
    <w:rPr>
      <w:rFonts w:eastAsia="Times New Roman" w:cs="Times New Roman"/>
      <w:szCs w:val="24"/>
    </w:rPr>
  </w:style>
  <w:style w:type="paragraph" w:customStyle="1" w:styleId="FAO">
    <w:name w:val="FAO"/>
    <w:basedOn w:val="Normal"/>
    <w:rsid w:val="006B2780"/>
    <w:rPr>
      <w:rFonts w:eastAsia="Times New Roman" w:cs="Times New Roman"/>
      <w:b/>
      <w:szCs w:val="24"/>
      <w:lang w:eastAsia="en-GB"/>
    </w:rPr>
  </w:style>
  <w:style w:type="table" w:styleId="DarkList-Accent1">
    <w:name w:val="Dark List Accent 1"/>
    <w:basedOn w:val="TableNormal"/>
    <w:uiPriority w:val="70"/>
    <w:rsid w:val="00703724"/>
    <w:rPr>
      <w:color w:val="FFFFFF" w:themeColor="background1"/>
      <w:lang w:eastAsia="en-US"/>
    </w:rPr>
    <w:tblPr>
      <w:tblStyleRowBandSize w:val="1"/>
      <w:tblStyleColBandSize w:val="1"/>
    </w:tblPr>
    <w:tcPr>
      <w:shd w:val="clear" w:color="auto" w:fill="09202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0F1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6172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61722" w:themeFill="accent1" w:themeFillShade="BF"/>
      </w:tcPr>
    </w:tblStylePr>
    <w:tblStylePr w:type="band1Vert">
      <w:tblPr/>
      <w:tcPr>
        <w:tcBorders>
          <w:top w:val="nil"/>
          <w:left w:val="nil"/>
          <w:bottom w:val="nil"/>
          <w:right w:val="nil"/>
          <w:insideH w:val="nil"/>
          <w:insideV w:val="nil"/>
        </w:tcBorders>
        <w:shd w:val="clear" w:color="auto" w:fill="061722" w:themeFill="accent1" w:themeFillShade="BF"/>
      </w:tcPr>
    </w:tblStylePr>
    <w:tblStylePr w:type="band1Horz">
      <w:tblPr/>
      <w:tcPr>
        <w:tcBorders>
          <w:top w:val="nil"/>
          <w:left w:val="nil"/>
          <w:bottom w:val="nil"/>
          <w:right w:val="nil"/>
          <w:insideH w:val="nil"/>
          <w:insideV w:val="nil"/>
        </w:tcBorders>
        <w:shd w:val="clear" w:color="auto" w:fill="061722" w:themeFill="accent1" w:themeFillShade="BF"/>
      </w:tcPr>
    </w:tblStylePr>
  </w:style>
  <w:style w:type="table" w:styleId="LightList-Accent1">
    <w:name w:val="Light List Accent 1"/>
    <w:basedOn w:val="TableNormal"/>
    <w:uiPriority w:val="61"/>
    <w:rsid w:val="00703724"/>
    <w:rPr>
      <w:lang w:eastAsia="en-US"/>
    </w:rPr>
    <w:tblPr>
      <w:tblStyleRowBandSize w:val="1"/>
      <w:tblStyleColBandSize w:val="1"/>
      <w:tblBorders>
        <w:top w:val="single" w:sz="8" w:space="0" w:color="09202E" w:themeColor="accent1"/>
        <w:left w:val="single" w:sz="8" w:space="0" w:color="09202E" w:themeColor="accent1"/>
        <w:bottom w:val="single" w:sz="8" w:space="0" w:color="09202E" w:themeColor="accent1"/>
        <w:right w:val="single" w:sz="8" w:space="0" w:color="09202E" w:themeColor="accent1"/>
      </w:tblBorders>
    </w:tblPr>
    <w:tblStylePr w:type="firstRow">
      <w:pPr>
        <w:spacing w:before="0" w:after="0" w:line="240" w:lineRule="auto"/>
      </w:pPr>
      <w:rPr>
        <w:b/>
        <w:bCs/>
        <w:color w:val="FFFFFF" w:themeColor="background1"/>
      </w:rPr>
      <w:tblPr/>
      <w:tcPr>
        <w:shd w:val="clear" w:color="auto" w:fill="09202E" w:themeFill="accent1"/>
      </w:tcPr>
    </w:tblStylePr>
    <w:tblStylePr w:type="lastRow">
      <w:pPr>
        <w:spacing w:before="0" w:after="0" w:line="240" w:lineRule="auto"/>
      </w:pPr>
      <w:rPr>
        <w:b/>
        <w:bCs/>
      </w:rPr>
      <w:tblPr/>
      <w:tcPr>
        <w:tcBorders>
          <w:top w:val="double" w:sz="6" w:space="0" w:color="09202E" w:themeColor="accent1"/>
          <w:left w:val="single" w:sz="8" w:space="0" w:color="09202E" w:themeColor="accent1"/>
          <w:bottom w:val="single" w:sz="8" w:space="0" w:color="09202E" w:themeColor="accent1"/>
          <w:right w:val="single" w:sz="8" w:space="0" w:color="09202E" w:themeColor="accent1"/>
        </w:tcBorders>
      </w:tcPr>
    </w:tblStylePr>
    <w:tblStylePr w:type="firstCol">
      <w:rPr>
        <w:b/>
        <w:bCs/>
      </w:rPr>
    </w:tblStylePr>
    <w:tblStylePr w:type="lastCol">
      <w:rPr>
        <w:b/>
        <w:bCs/>
      </w:rPr>
    </w:tblStylePr>
    <w:tblStylePr w:type="band1Vert">
      <w:tblPr/>
      <w:tcPr>
        <w:tcBorders>
          <w:top w:val="single" w:sz="8" w:space="0" w:color="09202E" w:themeColor="accent1"/>
          <w:left w:val="single" w:sz="8" w:space="0" w:color="09202E" w:themeColor="accent1"/>
          <w:bottom w:val="single" w:sz="8" w:space="0" w:color="09202E" w:themeColor="accent1"/>
          <w:right w:val="single" w:sz="8" w:space="0" w:color="09202E" w:themeColor="accent1"/>
        </w:tcBorders>
      </w:tcPr>
    </w:tblStylePr>
    <w:tblStylePr w:type="band1Horz">
      <w:tblPr/>
      <w:tcPr>
        <w:tcBorders>
          <w:top w:val="single" w:sz="8" w:space="0" w:color="09202E" w:themeColor="accent1"/>
          <w:left w:val="single" w:sz="8" w:space="0" w:color="09202E" w:themeColor="accent1"/>
          <w:bottom w:val="single" w:sz="8" w:space="0" w:color="09202E" w:themeColor="accent1"/>
          <w:right w:val="single" w:sz="8" w:space="0" w:color="09202E" w:themeColor="accent1"/>
        </w:tcBorders>
      </w:tcPr>
    </w:tblStylePr>
  </w:style>
  <w:style w:type="table" w:styleId="ColourfulShading">
    <w:name w:val="Colorful Shading"/>
    <w:basedOn w:val="TableNormal"/>
    <w:uiPriority w:val="71"/>
    <w:rsid w:val="00703724"/>
    <w:rPr>
      <w:color w:val="000000" w:themeColor="text1"/>
      <w:lang w:eastAsia="en-US"/>
    </w:rPr>
    <w:tblPr>
      <w:tblStyleRowBandSize w:val="1"/>
      <w:tblStyleColBandSize w:val="1"/>
      <w:tblBorders>
        <w:top w:val="single" w:sz="24" w:space="0" w:color="00B3B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B3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ediumGrid2-Accent3">
    <w:name w:val="Medium Grid 2 Accent 3"/>
    <w:basedOn w:val="TableNormal"/>
    <w:uiPriority w:val="68"/>
    <w:rsid w:val="00703724"/>
    <w:rPr>
      <w:rFonts w:asciiTheme="majorHAnsi" w:eastAsiaTheme="majorEastAsia" w:hAnsiTheme="majorHAnsi" w:cstheme="majorBidi"/>
      <w:color w:val="000000" w:themeColor="text1"/>
      <w:lang w:eastAsia="en-US"/>
    </w:rPr>
    <w:tblPr>
      <w:tblStyleRowBandSize w:val="1"/>
      <w:tblStyleColBandSize w:val="1"/>
      <w:tblBorders>
        <w:top w:val="single" w:sz="8" w:space="0" w:color="044E71" w:themeColor="accent3"/>
        <w:left w:val="single" w:sz="8" w:space="0" w:color="044E71" w:themeColor="accent3"/>
        <w:bottom w:val="single" w:sz="8" w:space="0" w:color="044E71" w:themeColor="accent3"/>
        <w:right w:val="single" w:sz="8" w:space="0" w:color="044E71" w:themeColor="accent3"/>
        <w:insideH w:val="single" w:sz="8" w:space="0" w:color="044E71" w:themeColor="accent3"/>
        <w:insideV w:val="single" w:sz="8" w:space="0" w:color="044E71" w:themeColor="accent3"/>
      </w:tblBorders>
    </w:tblPr>
    <w:tcPr>
      <w:shd w:val="clear" w:color="auto" w:fill="A1DEFB" w:themeFill="accent3" w:themeFillTint="3F"/>
    </w:tcPr>
    <w:tblStylePr w:type="firstRow">
      <w:rPr>
        <w:b/>
        <w:bCs/>
        <w:color w:val="000000" w:themeColor="text1"/>
      </w:rPr>
      <w:tblPr/>
      <w:tcPr>
        <w:shd w:val="clear" w:color="auto" w:fill="D9F2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E4FC" w:themeFill="accent3" w:themeFillTint="33"/>
      </w:tcPr>
    </w:tblStylePr>
    <w:tblStylePr w:type="band1Vert">
      <w:tblPr/>
      <w:tcPr>
        <w:shd w:val="clear" w:color="auto" w:fill="41BDF8" w:themeFill="accent3" w:themeFillTint="7F"/>
      </w:tcPr>
    </w:tblStylePr>
    <w:tblStylePr w:type="band1Horz">
      <w:tblPr/>
      <w:tcPr>
        <w:tcBorders>
          <w:insideH w:val="single" w:sz="6" w:space="0" w:color="044E71" w:themeColor="accent3"/>
          <w:insideV w:val="single" w:sz="6" w:space="0" w:color="044E71" w:themeColor="accent3"/>
        </w:tcBorders>
        <w:shd w:val="clear" w:color="auto" w:fill="41BDF8" w:themeFill="accent3"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03724"/>
    <w:rPr>
      <w:rFonts w:asciiTheme="majorHAnsi" w:eastAsiaTheme="majorEastAsia" w:hAnsiTheme="majorHAnsi" w:cstheme="majorBidi"/>
      <w:color w:val="000000" w:themeColor="text1"/>
      <w:lang w:eastAsia="en-US"/>
    </w:rPr>
    <w:tblPr>
      <w:tblStyleRowBandSize w:val="1"/>
      <w:tblStyleColBandSize w:val="1"/>
      <w:tblBorders>
        <w:top w:val="single" w:sz="8" w:space="0" w:color="00953E" w:themeColor="accent6"/>
        <w:left w:val="single" w:sz="8" w:space="0" w:color="00953E" w:themeColor="accent6"/>
        <w:bottom w:val="single" w:sz="8" w:space="0" w:color="00953E" w:themeColor="accent6"/>
        <w:right w:val="single" w:sz="8" w:space="0" w:color="00953E" w:themeColor="accent6"/>
        <w:insideH w:val="single" w:sz="8" w:space="0" w:color="00953E" w:themeColor="accent6"/>
        <w:insideV w:val="single" w:sz="8" w:space="0" w:color="00953E" w:themeColor="accent6"/>
      </w:tblBorders>
    </w:tblPr>
    <w:tcPr>
      <w:shd w:val="clear" w:color="auto" w:fill="A5FFCA" w:themeFill="accent6" w:themeFillTint="3F"/>
    </w:tcPr>
    <w:tblStylePr w:type="firstRow">
      <w:rPr>
        <w:b/>
        <w:bCs/>
        <w:color w:val="000000" w:themeColor="text1"/>
      </w:rPr>
      <w:tblPr/>
      <w:tcPr>
        <w:shd w:val="clear" w:color="auto" w:fill="DBFF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FFD4" w:themeFill="accent6" w:themeFillTint="33"/>
      </w:tcPr>
    </w:tblStylePr>
    <w:tblStylePr w:type="band1Vert">
      <w:tblPr/>
      <w:tcPr>
        <w:shd w:val="clear" w:color="auto" w:fill="4BFF95" w:themeFill="accent6" w:themeFillTint="7F"/>
      </w:tcPr>
    </w:tblStylePr>
    <w:tblStylePr w:type="band1Horz">
      <w:tblPr/>
      <w:tcPr>
        <w:tcBorders>
          <w:insideH w:val="single" w:sz="6" w:space="0" w:color="00953E" w:themeColor="accent6"/>
          <w:insideV w:val="single" w:sz="6" w:space="0" w:color="00953E" w:themeColor="accent6"/>
        </w:tcBorders>
        <w:shd w:val="clear" w:color="auto" w:fill="4BFF95" w:themeFill="accent6" w:themeFillTint="7F"/>
      </w:tcPr>
    </w:tblStylePr>
    <w:tblStylePr w:type="nwCell">
      <w:tblPr/>
      <w:tcPr>
        <w:shd w:val="clear" w:color="auto" w:fill="FFFFFF" w:themeFill="background1"/>
      </w:tcPr>
    </w:tblStylePr>
  </w:style>
  <w:style w:type="table" w:styleId="LightShading">
    <w:name w:val="Light Shading"/>
    <w:basedOn w:val="TableNormal"/>
    <w:uiPriority w:val="60"/>
    <w:rsid w:val="00703724"/>
    <w:rPr>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urfulGridAccent6">
    <w:name w:val="Colorful Grid Accent 6"/>
    <w:basedOn w:val="TableNormal"/>
    <w:uiPriority w:val="73"/>
    <w:rsid w:val="00703724"/>
    <w:rPr>
      <w:color w:val="000000" w:themeColor="text1"/>
      <w:lang w:eastAsia="en-US"/>
    </w:rPr>
    <w:tblPr>
      <w:tblStyleRowBandSize w:val="1"/>
      <w:tblStyleColBandSize w:val="1"/>
      <w:tblBorders>
        <w:insideH w:val="single" w:sz="4" w:space="0" w:color="FFFFFF" w:themeColor="background1"/>
      </w:tblBorders>
    </w:tblPr>
    <w:tcPr>
      <w:shd w:val="clear" w:color="auto" w:fill="B6FFD4" w:themeFill="accent6" w:themeFillTint="33"/>
    </w:tcPr>
    <w:tblStylePr w:type="firstRow">
      <w:rPr>
        <w:b/>
        <w:bCs/>
      </w:rPr>
      <w:tblPr/>
      <w:tcPr>
        <w:shd w:val="clear" w:color="auto" w:fill="6EFFAA" w:themeFill="accent6" w:themeFillTint="66"/>
      </w:tcPr>
    </w:tblStylePr>
    <w:tblStylePr w:type="lastRow">
      <w:rPr>
        <w:b/>
        <w:bCs/>
        <w:color w:val="000000" w:themeColor="text1"/>
      </w:rPr>
      <w:tblPr/>
      <w:tcPr>
        <w:shd w:val="clear" w:color="auto" w:fill="6EFFAA" w:themeFill="accent6" w:themeFillTint="66"/>
      </w:tcPr>
    </w:tblStylePr>
    <w:tblStylePr w:type="firstCol">
      <w:rPr>
        <w:color w:val="FFFFFF" w:themeColor="background1"/>
      </w:rPr>
      <w:tblPr/>
      <w:tcPr>
        <w:shd w:val="clear" w:color="auto" w:fill="006F2E" w:themeFill="accent6" w:themeFillShade="BF"/>
      </w:tcPr>
    </w:tblStylePr>
    <w:tblStylePr w:type="lastCol">
      <w:rPr>
        <w:color w:val="FFFFFF" w:themeColor="background1"/>
      </w:rPr>
      <w:tblPr/>
      <w:tcPr>
        <w:shd w:val="clear" w:color="auto" w:fill="006F2E" w:themeFill="accent6" w:themeFillShade="BF"/>
      </w:tcPr>
    </w:tblStylePr>
    <w:tblStylePr w:type="band1Vert">
      <w:tblPr/>
      <w:tcPr>
        <w:shd w:val="clear" w:color="auto" w:fill="4BFF95" w:themeFill="accent6" w:themeFillTint="7F"/>
      </w:tcPr>
    </w:tblStylePr>
    <w:tblStylePr w:type="band1Horz">
      <w:tblPr/>
      <w:tcPr>
        <w:shd w:val="clear" w:color="auto" w:fill="4BFF95" w:themeFill="accent6" w:themeFillTint="7F"/>
      </w:tcPr>
    </w:tblStylePr>
  </w:style>
  <w:style w:type="table" w:styleId="MediumShading1-Accent2">
    <w:name w:val="Medium Shading 1 Accent 2"/>
    <w:basedOn w:val="TableNormal"/>
    <w:uiPriority w:val="63"/>
    <w:rsid w:val="00703724"/>
    <w:rPr>
      <w:lang w:eastAsia="en-US"/>
    </w:rPr>
    <w:tblPr>
      <w:tblStyleRowBandSize w:val="1"/>
      <w:tblStyleColBandSize w:val="1"/>
      <w:tblBorders>
        <w:top w:val="single" w:sz="8" w:space="0" w:color="0CF5FF" w:themeColor="accent2" w:themeTint="BF"/>
        <w:left w:val="single" w:sz="8" w:space="0" w:color="0CF5FF" w:themeColor="accent2" w:themeTint="BF"/>
        <w:bottom w:val="single" w:sz="8" w:space="0" w:color="0CF5FF" w:themeColor="accent2" w:themeTint="BF"/>
        <w:right w:val="single" w:sz="8" w:space="0" w:color="0CF5FF" w:themeColor="accent2" w:themeTint="BF"/>
        <w:insideH w:val="single" w:sz="8" w:space="0" w:color="0CF5FF" w:themeColor="accent2" w:themeTint="BF"/>
      </w:tblBorders>
    </w:tblPr>
    <w:tblStylePr w:type="firstRow">
      <w:pPr>
        <w:spacing w:before="0" w:after="0" w:line="240" w:lineRule="auto"/>
      </w:pPr>
      <w:rPr>
        <w:b/>
        <w:bCs/>
        <w:color w:val="FFFFFF" w:themeColor="background1"/>
      </w:rPr>
      <w:tblPr/>
      <w:tcPr>
        <w:tcBorders>
          <w:top w:val="single" w:sz="8" w:space="0" w:color="0CF5FF" w:themeColor="accent2" w:themeTint="BF"/>
          <w:left w:val="single" w:sz="8" w:space="0" w:color="0CF5FF" w:themeColor="accent2" w:themeTint="BF"/>
          <w:bottom w:val="single" w:sz="8" w:space="0" w:color="0CF5FF" w:themeColor="accent2" w:themeTint="BF"/>
          <w:right w:val="single" w:sz="8" w:space="0" w:color="0CF5FF" w:themeColor="accent2" w:themeTint="BF"/>
          <w:insideH w:val="nil"/>
          <w:insideV w:val="nil"/>
        </w:tcBorders>
        <w:shd w:val="clear" w:color="auto" w:fill="00B3BA" w:themeFill="accent2"/>
      </w:tcPr>
    </w:tblStylePr>
    <w:tblStylePr w:type="lastRow">
      <w:pPr>
        <w:spacing w:before="0" w:after="0" w:line="240" w:lineRule="auto"/>
      </w:pPr>
      <w:rPr>
        <w:b/>
        <w:bCs/>
      </w:rPr>
      <w:tblPr/>
      <w:tcPr>
        <w:tcBorders>
          <w:top w:val="double" w:sz="6" w:space="0" w:color="0CF5FF" w:themeColor="accent2" w:themeTint="BF"/>
          <w:left w:val="single" w:sz="8" w:space="0" w:color="0CF5FF" w:themeColor="accent2" w:themeTint="BF"/>
          <w:bottom w:val="single" w:sz="8" w:space="0" w:color="0CF5FF" w:themeColor="accent2" w:themeTint="BF"/>
          <w:right w:val="single" w:sz="8" w:space="0" w:color="0CF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AEFBFF" w:themeFill="accent2" w:themeFillTint="3F"/>
      </w:tcPr>
    </w:tblStylePr>
    <w:tblStylePr w:type="band1Horz">
      <w:tblPr/>
      <w:tcPr>
        <w:tcBorders>
          <w:insideH w:val="nil"/>
          <w:insideV w:val="nil"/>
        </w:tcBorders>
        <w:shd w:val="clear" w:color="auto" w:fill="AEFBFF" w:themeFill="accent2"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703724"/>
    <w:rPr>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53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53E" w:themeFill="accent6"/>
      </w:tcPr>
    </w:tblStylePr>
    <w:tblStylePr w:type="lastCol">
      <w:rPr>
        <w:b/>
        <w:bCs/>
        <w:color w:val="FFFFFF" w:themeColor="background1"/>
      </w:rPr>
      <w:tblPr/>
      <w:tcPr>
        <w:tcBorders>
          <w:left w:val="nil"/>
          <w:right w:val="nil"/>
          <w:insideH w:val="nil"/>
          <w:insideV w:val="nil"/>
        </w:tcBorders>
        <w:shd w:val="clear" w:color="auto" w:fill="00953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6">
    <w:name w:val="Light Grid Accent 6"/>
    <w:basedOn w:val="TableNormal"/>
    <w:uiPriority w:val="62"/>
    <w:rsid w:val="00703724"/>
    <w:rPr>
      <w:lang w:eastAsia="en-US"/>
    </w:rPr>
    <w:tblPr>
      <w:tblStyleRowBandSize w:val="1"/>
      <w:tblStyleColBandSize w:val="1"/>
      <w:tblBorders>
        <w:top w:val="single" w:sz="8" w:space="0" w:color="00953E" w:themeColor="accent6"/>
        <w:left w:val="single" w:sz="8" w:space="0" w:color="00953E" w:themeColor="accent6"/>
        <w:bottom w:val="single" w:sz="8" w:space="0" w:color="00953E" w:themeColor="accent6"/>
        <w:right w:val="single" w:sz="8" w:space="0" w:color="00953E" w:themeColor="accent6"/>
        <w:insideH w:val="single" w:sz="8" w:space="0" w:color="00953E" w:themeColor="accent6"/>
        <w:insideV w:val="single" w:sz="8" w:space="0" w:color="00953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53E" w:themeColor="accent6"/>
          <w:left w:val="single" w:sz="8" w:space="0" w:color="00953E" w:themeColor="accent6"/>
          <w:bottom w:val="single" w:sz="18" w:space="0" w:color="00953E" w:themeColor="accent6"/>
          <w:right w:val="single" w:sz="8" w:space="0" w:color="00953E" w:themeColor="accent6"/>
          <w:insideH w:val="nil"/>
          <w:insideV w:val="single" w:sz="8" w:space="0" w:color="00953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53E" w:themeColor="accent6"/>
          <w:left w:val="single" w:sz="8" w:space="0" w:color="00953E" w:themeColor="accent6"/>
          <w:bottom w:val="single" w:sz="8" w:space="0" w:color="00953E" w:themeColor="accent6"/>
          <w:right w:val="single" w:sz="8" w:space="0" w:color="00953E" w:themeColor="accent6"/>
          <w:insideH w:val="nil"/>
          <w:insideV w:val="single" w:sz="8" w:space="0" w:color="00953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53E" w:themeColor="accent6"/>
          <w:left w:val="single" w:sz="8" w:space="0" w:color="00953E" w:themeColor="accent6"/>
          <w:bottom w:val="single" w:sz="8" w:space="0" w:color="00953E" w:themeColor="accent6"/>
          <w:right w:val="single" w:sz="8" w:space="0" w:color="00953E" w:themeColor="accent6"/>
        </w:tcBorders>
      </w:tcPr>
    </w:tblStylePr>
    <w:tblStylePr w:type="band1Vert">
      <w:tblPr/>
      <w:tcPr>
        <w:tcBorders>
          <w:top w:val="single" w:sz="8" w:space="0" w:color="00953E" w:themeColor="accent6"/>
          <w:left w:val="single" w:sz="8" w:space="0" w:color="00953E" w:themeColor="accent6"/>
          <w:bottom w:val="single" w:sz="8" w:space="0" w:color="00953E" w:themeColor="accent6"/>
          <w:right w:val="single" w:sz="8" w:space="0" w:color="00953E" w:themeColor="accent6"/>
        </w:tcBorders>
        <w:shd w:val="clear" w:color="auto" w:fill="A5FFCA" w:themeFill="accent6" w:themeFillTint="3F"/>
      </w:tcPr>
    </w:tblStylePr>
    <w:tblStylePr w:type="band1Horz">
      <w:tblPr/>
      <w:tcPr>
        <w:tcBorders>
          <w:top w:val="single" w:sz="8" w:space="0" w:color="00953E" w:themeColor="accent6"/>
          <w:left w:val="single" w:sz="8" w:space="0" w:color="00953E" w:themeColor="accent6"/>
          <w:bottom w:val="single" w:sz="8" w:space="0" w:color="00953E" w:themeColor="accent6"/>
          <w:right w:val="single" w:sz="8" w:space="0" w:color="00953E" w:themeColor="accent6"/>
          <w:insideV w:val="single" w:sz="8" w:space="0" w:color="00953E" w:themeColor="accent6"/>
        </w:tcBorders>
        <w:shd w:val="clear" w:color="auto" w:fill="A5FFCA" w:themeFill="accent6" w:themeFillTint="3F"/>
      </w:tcPr>
    </w:tblStylePr>
    <w:tblStylePr w:type="band2Horz">
      <w:tblPr/>
      <w:tcPr>
        <w:tcBorders>
          <w:top w:val="single" w:sz="8" w:space="0" w:color="00953E" w:themeColor="accent6"/>
          <w:left w:val="single" w:sz="8" w:space="0" w:color="00953E" w:themeColor="accent6"/>
          <w:bottom w:val="single" w:sz="8" w:space="0" w:color="00953E" w:themeColor="accent6"/>
          <w:right w:val="single" w:sz="8" w:space="0" w:color="00953E" w:themeColor="accent6"/>
          <w:insideV w:val="single" w:sz="8" w:space="0" w:color="00953E" w:themeColor="accent6"/>
        </w:tcBorders>
      </w:tcPr>
    </w:tblStylePr>
  </w:style>
  <w:style w:type="numbering" w:customStyle="1" w:styleId="Level">
    <w:name w:val="Level"/>
    <w:uiPriority w:val="99"/>
    <w:rsid w:val="00703724"/>
    <w:pPr>
      <w:numPr>
        <w:numId w:val="96"/>
      </w:numPr>
    </w:pPr>
  </w:style>
  <w:style w:type="numbering" w:customStyle="1" w:styleId="Scheduletext">
    <w:name w:val="Schedule text"/>
    <w:uiPriority w:val="99"/>
    <w:rsid w:val="00703724"/>
    <w:pPr>
      <w:numPr>
        <w:numId w:val="98"/>
      </w:numPr>
    </w:pPr>
  </w:style>
  <w:style w:type="numbering" w:customStyle="1" w:styleId="Appendix">
    <w:name w:val="Appendix"/>
    <w:uiPriority w:val="99"/>
    <w:rsid w:val="00703724"/>
    <w:pPr>
      <w:numPr>
        <w:numId w:val="100"/>
      </w:numPr>
    </w:pPr>
  </w:style>
  <w:style w:type="numbering" w:customStyle="1" w:styleId="Appendixheading">
    <w:name w:val="Appendix heading"/>
    <w:uiPriority w:val="99"/>
    <w:rsid w:val="00703724"/>
    <w:pPr>
      <w:numPr>
        <w:numId w:val="99"/>
      </w:numPr>
    </w:pPr>
  </w:style>
  <w:style w:type="numbering" w:customStyle="1" w:styleId="Scheduleheading">
    <w:name w:val="Schedule heading"/>
    <w:uiPriority w:val="99"/>
    <w:rsid w:val="00703724"/>
    <w:pPr>
      <w:numPr>
        <w:numId w:val="97"/>
      </w:numPr>
    </w:pPr>
  </w:style>
  <w:style w:type="numbering" w:customStyle="1" w:styleId="Bullets">
    <w:name w:val="Bullets"/>
    <w:uiPriority w:val="99"/>
    <w:rsid w:val="00703724"/>
    <w:pPr>
      <w:numPr>
        <w:numId w:val="101"/>
      </w:numPr>
    </w:pPr>
  </w:style>
  <w:style w:type="paragraph" w:customStyle="1" w:styleId="DefinitionListLevel1">
    <w:name w:val="Definition List Level 1"/>
    <w:basedOn w:val="DefinitionList"/>
    <w:uiPriority w:val="99"/>
    <w:rsid w:val="00703724"/>
    <w:pPr>
      <w:numPr>
        <w:ilvl w:val="1"/>
      </w:numPr>
    </w:pPr>
  </w:style>
  <w:style w:type="numbering" w:customStyle="1" w:styleId="Definitions">
    <w:name w:val="Definitions"/>
    <w:uiPriority w:val="99"/>
    <w:rsid w:val="00703724"/>
    <w:pPr>
      <w:numPr>
        <w:numId w:val="132"/>
      </w:numPr>
    </w:pPr>
  </w:style>
  <w:style w:type="paragraph" w:customStyle="1" w:styleId="Level6">
    <w:name w:val="Level 6"/>
    <w:basedOn w:val="Level5"/>
    <w:rsid w:val="00703724"/>
  </w:style>
  <w:style w:type="paragraph" w:customStyle="1" w:styleId="Level7">
    <w:name w:val="Level 7"/>
    <w:basedOn w:val="Level6"/>
    <w:rsid w:val="00703724"/>
  </w:style>
  <w:style w:type="paragraph" w:customStyle="1" w:styleId="STNBodyText6">
    <w:name w:val="STN Body Text 6"/>
    <w:basedOn w:val="STNBodyText5"/>
    <w:rsid w:val="00703724"/>
  </w:style>
  <w:style w:type="paragraph" w:customStyle="1" w:styleId="STNBodyText7">
    <w:name w:val="STN Body Text 7"/>
    <w:basedOn w:val="STNBodyText6"/>
    <w:rsid w:val="00703724"/>
    <w:pPr>
      <w:ind w:left="3243"/>
    </w:pPr>
  </w:style>
  <w:style w:type="paragraph" w:customStyle="1" w:styleId="ScheduleText6">
    <w:name w:val="Schedule Text 6"/>
    <w:basedOn w:val="ScheduleText5"/>
    <w:rsid w:val="00703724"/>
    <w:pPr>
      <w:ind w:left="0" w:firstLine="0"/>
    </w:pPr>
  </w:style>
  <w:style w:type="paragraph" w:customStyle="1" w:styleId="ScheduleText7">
    <w:name w:val="Schedule Text 7"/>
    <w:basedOn w:val="ScheduleText6"/>
    <w:rsid w:val="00703724"/>
  </w:style>
  <w:style w:type="paragraph" w:styleId="Title">
    <w:name w:val="Title"/>
    <w:basedOn w:val="Normal"/>
    <w:next w:val="Normal"/>
    <w:link w:val="TitleChar"/>
    <w:uiPriority w:val="99"/>
    <w:qFormat/>
    <w:rsid w:val="00D174B3"/>
    <w:pPr>
      <w:keepNext/>
      <w:keepLines/>
      <w:spacing w:before="480" w:after="120"/>
    </w:pPr>
    <w:rPr>
      <w:rFonts w:eastAsia="Arial" w:cs="Arial"/>
      <w:b/>
      <w:sz w:val="72"/>
      <w:szCs w:val="72"/>
      <w:lang w:eastAsia="en-GB"/>
    </w:rPr>
  </w:style>
  <w:style w:type="character" w:customStyle="1" w:styleId="TitleChar">
    <w:name w:val="Title Char"/>
    <w:basedOn w:val="DefaultParagraphFont"/>
    <w:link w:val="Title"/>
    <w:uiPriority w:val="99"/>
    <w:rsid w:val="00D174B3"/>
    <w:rPr>
      <w:rFonts w:eastAsia="Arial" w:cs="Arial"/>
      <w:b/>
      <w:sz w:val="72"/>
      <w:szCs w:val="72"/>
    </w:rPr>
  </w:style>
  <w:style w:type="paragraph" w:styleId="NormalWeb">
    <w:name w:val="Normal (Web)"/>
    <w:basedOn w:val="Normal"/>
    <w:uiPriority w:val="99"/>
    <w:rsid w:val="00D174B3"/>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4"/>
      <w:lang w:eastAsia="en-GB"/>
    </w:rPr>
  </w:style>
  <w:style w:type="paragraph" w:customStyle="1" w:styleId="TLTDefinitionListLevel2">
    <w:name w:val="TLT Definition List Level 2"/>
    <w:basedOn w:val="Normal"/>
    <w:uiPriority w:val="99"/>
    <w:rsid w:val="00EF315E"/>
    <w:pPr>
      <w:numPr>
        <w:ilvl w:val="2"/>
        <w:numId w:val="32"/>
      </w:numPr>
      <w:spacing w:before="100" w:after="200"/>
      <w:ind w:left="2160"/>
    </w:pPr>
    <w:rPr>
      <w:rFonts w:eastAsia="Times New Roman" w:cs="Times New Roman"/>
      <w:szCs w:val="24"/>
      <w:lang w:eastAsia="en-GB"/>
    </w:rPr>
  </w:style>
  <w:style w:type="character" w:styleId="FootnoteReference">
    <w:name w:val="footnote reference"/>
    <w:basedOn w:val="DefaultParagraphFont"/>
    <w:uiPriority w:val="99"/>
    <w:rsid w:val="003B33D2"/>
    <w:rPr>
      <w:vertAlign w:val="superscript"/>
    </w:rPr>
  </w:style>
  <w:style w:type="table" w:styleId="GridTable1Light-Accent1">
    <w:name w:val="Grid Table 1 Light Accent 1"/>
    <w:basedOn w:val="TableNormal"/>
    <w:uiPriority w:val="46"/>
    <w:rsid w:val="003B33D2"/>
    <w:tblPr>
      <w:tblStyleRowBandSize w:val="1"/>
      <w:tblStyleColBandSize w:val="1"/>
      <w:tblBorders>
        <w:top w:val="single" w:sz="4" w:space="0" w:color="66B2E1" w:themeColor="accent1" w:themeTint="66"/>
        <w:left w:val="single" w:sz="4" w:space="0" w:color="66B2E1" w:themeColor="accent1" w:themeTint="66"/>
        <w:bottom w:val="single" w:sz="4" w:space="0" w:color="66B2E1" w:themeColor="accent1" w:themeTint="66"/>
        <w:right w:val="single" w:sz="4" w:space="0" w:color="66B2E1" w:themeColor="accent1" w:themeTint="66"/>
        <w:insideH w:val="single" w:sz="4" w:space="0" w:color="66B2E1" w:themeColor="accent1" w:themeTint="66"/>
        <w:insideV w:val="single" w:sz="4" w:space="0" w:color="66B2E1" w:themeColor="accent1" w:themeTint="66"/>
      </w:tblBorders>
    </w:tblPr>
    <w:tblStylePr w:type="firstRow">
      <w:rPr>
        <w:b/>
        <w:bCs/>
      </w:rPr>
      <w:tblPr/>
      <w:tcPr>
        <w:tcBorders>
          <w:bottom w:val="single" w:sz="12" w:space="0" w:color="2689C6" w:themeColor="accent1" w:themeTint="99"/>
        </w:tcBorders>
      </w:tcPr>
    </w:tblStylePr>
    <w:tblStylePr w:type="lastRow">
      <w:rPr>
        <w:b/>
        <w:bCs/>
      </w:rPr>
      <w:tblPr/>
      <w:tcPr>
        <w:tcBorders>
          <w:top w:val="double" w:sz="2" w:space="0" w:color="2689C6" w:themeColor="accent1" w:themeTint="99"/>
        </w:tcBorders>
      </w:tcPr>
    </w:tblStylePr>
    <w:tblStylePr w:type="firstCol">
      <w:rPr>
        <w:b/>
        <w:bCs/>
      </w:rPr>
    </w:tblStylePr>
    <w:tblStylePr w:type="lastCol">
      <w:rPr>
        <w:b/>
        <w:bCs/>
      </w:rPr>
    </w:tblStylePr>
  </w:style>
  <w:style w:type="paragraph" w:customStyle="1" w:styleId="AppendixText3">
    <w:name w:val="Appendix Text 3"/>
    <w:basedOn w:val="Normal"/>
    <w:next w:val="Normal"/>
    <w:rsid w:val="003B33D2"/>
    <w:pPr>
      <w:numPr>
        <w:ilvl w:val="2"/>
        <w:numId w:val="133"/>
      </w:numPr>
      <w:ind w:left="720" w:hanging="720"/>
    </w:pPr>
  </w:style>
  <w:style w:type="paragraph" w:customStyle="1" w:styleId="AppendixText4">
    <w:name w:val="Appendix Text 4"/>
    <w:basedOn w:val="Normal"/>
    <w:next w:val="Normal"/>
    <w:rsid w:val="003B33D2"/>
    <w:pPr>
      <w:numPr>
        <w:ilvl w:val="3"/>
        <w:numId w:val="133"/>
      </w:numPr>
      <w:ind w:left="720" w:hanging="720"/>
    </w:pPr>
  </w:style>
  <w:style w:type="paragraph" w:customStyle="1" w:styleId="AppendixText5">
    <w:name w:val="Appendix Text 5"/>
    <w:basedOn w:val="Normal"/>
    <w:next w:val="Normal"/>
    <w:rsid w:val="003B33D2"/>
    <w:pPr>
      <w:numPr>
        <w:ilvl w:val="4"/>
        <w:numId w:val="133"/>
      </w:numPr>
      <w:tabs>
        <w:tab w:val="clear" w:pos="1803"/>
      </w:tabs>
      <w:ind w:left="720"/>
    </w:pPr>
  </w:style>
  <w:style w:type="paragraph" w:customStyle="1" w:styleId="BulletsBody">
    <w:name w:val="Bullets Body"/>
    <w:basedOn w:val="Normal"/>
    <w:semiHidden/>
    <w:rsid w:val="003B33D2"/>
    <w:pPr>
      <w:tabs>
        <w:tab w:val="num" w:pos="720"/>
      </w:tabs>
      <w:spacing w:before="100" w:after="200"/>
      <w:ind w:left="720" w:hanging="720"/>
    </w:pPr>
    <w:rPr>
      <w:rFonts w:eastAsia="Times New Roman" w:cs="Times New Roman"/>
      <w:szCs w:val="24"/>
      <w:lang w:eastAsia="en-GB"/>
    </w:rPr>
  </w:style>
  <w:style w:type="paragraph" w:customStyle="1" w:styleId="BulletsLevel2">
    <w:name w:val="Bullets Level 2"/>
    <w:basedOn w:val="BulletsLevel1"/>
    <w:semiHidden/>
    <w:rsid w:val="003B33D2"/>
    <w:pPr>
      <w:numPr>
        <w:ilvl w:val="0"/>
        <w:numId w:val="0"/>
      </w:numPr>
      <w:tabs>
        <w:tab w:val="clear" w:pos="1797"/>
        <w:tab w:val="num" w:pos="2523"/>
      </w:tabs>
      <w:ind w:left="2523" w:hanging="720"/>
    </w:pPr>
  </w:style>
  <w:style w:type="paragraph" w:customStyle="1" w:styleId="DefinitionListLevel2">
    <w:name w:val="Definition List Level 2"/>
    <w:basedOn w:val="DefinitionListLevel1"/>
    <w:uiPriority w:val="99"/>
    <w:semiHidden/>
    <w:rsid w:val="003B33D2"/>
    <w:pPr>
      <w:numPr>
        <w:ilvl w:val="0"/>
        <w:numId w:val="0"/>
      </w:numPr>
      <w:tabs>
        <w:tab w:val="num" w:pos="1440"/>
      </w:tabs>
      <w:ind w:left="1440" w:hanging="720"/>
    </w:pPr>
  </w:style>
  <w:style w:type="paragraph" w:styleId="ListParagraph">
    <w:name w:val="List Paragraph"/>
    <w:aliases w:val="Numbered Indented Text"/>
    <w:basedOn w:val="Normal"/>
    <w:link w:val="ListParagraphChar"/>
    <w:uiPriority w:val="34"/>
    <w:qFormat/>
    <w:rsid w:val="003B33D2"/>
    <w:pPr>
      <w:spacing w:after="160" w:line="259" w:lineRule="auto"/>
      <w:ind w:left="720"/>
      <w:contextualSpacing/>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3B33D2"/>
    <w:rPr>
      <w:color w:val="605E5C"/>
      <w:shd w:val="clear" w:color="auto" w:fill="E1DFDD"/>
    </w:rPr>
  </w:style>
  <w:style w:type="paragraph" w:customStyle="1" w:styleId="AppendixText6">
    <w:name w:val="Appendix Text 6"/>
    <w:basedOn w:val="AppendixText5"/>
    <w:rsid w:val="003B33D2"/>
    <w:pPr>
      <w:tabs>
        <w:tab w:val="num" w:pos="3243"/>
      </w:tabs>
      <w:ind w:left="3243"/>
    </w:pPr>
  </w:style>
  <w:style w:type="character" w:customStyle="1" w:styleId="il">
    <w:name w:val="il"/>
    <w:basedOn w:val="DefaultParagraphFont"/>
    <w:uiPriority w:val="99"/>
    <w:semiHidden/>
    <w:rsid w:val="003B33D2"/>
  </w:style>
  <w:style w:type="character" w:customStyle="1" w:styleId="ListParagraphChar">
    <w:name w:val="List Paragraph Char"/>
    <w:aliases w:val="Numbered Indented Text Char"/>
    <w:link w:val="ListParagraph"/>
    <w:uiPriority w:val="34"/>
    <w:locked/>
    <w:rsid w:val="003B33D2"/>
    <w:rPr>
      <w:rFonts w:asciiTheme="minorHAnsi" w:hAnsiTheme="minorHAnsi"/>
      <w:sz w:val="22"/>
      <w:szCs w:val="22"/>
      <w:lang w:eastAsia="en-US"/>
    </w:rPr>
  </w:style>
  <w:style w:type="character" w:styleId="FollowedHyperlink">
    <w:name w:val="FollowedHyperlink"/>
    <w:basedOn w:val="DefaultParagraphFont"/>
    <w:uiPriority w:val="99"/>
    <w:rsid w:val="003B33D2"/>
    <w:rPr>
      <w:color w:val="00B3BA" w:themeColor="followedHyperlink"/>
      <w:u w:val="single"/>
    </w:rPr>
  </w:style>
  <w:style w:type="character" w:customStyle="1" w:styleId="UnresolvedMention2">
    <w:name w:val="Unresolved Mention2"/>
    <w:basedOn w:val="DefaultParagraphFont"/>
    <w:uiPriority w:val="99"/>
    <w:semiHidden/>
    <w:unhideWhenUsed/>
    <w:rsid w:val="003B33D2"/>
    <w:rPr>
      <w:color w:val="605E5C"/>
      <w:shd w:val="clear" w:color="auto" w:fill="E1DFDD"/>
    </w:rPr>
  </w:style>
  <w:style w:type="numbering" w:customStyle="1" w:styleId="NumbListLegal">
    <w:name w:val="NumbList Legal"/>
    <w:uiPriority w:val="99"/>
    <w:rsid w:val="003B33D2"/>
    <w:pPr>
      <w:numPr>
        <w:numId w:val="134"/>
      </w:numPr>
    </w:pPr>
  </w:style>
  <w:style w:type="paragraph" w:styleId="ListBullet">
    <w:name w:val="List Bullet"/>
    <w:basedOn w:val="Normal"/>
    <w:uiPriority w:val="99"/>
    <w:rsid w:val="003B33D2"/>
    <w:pPr>
      <w:numPr>
        <w:numId w:val="135"/>
      </w:numPr>
      <w:spacing w:after="240"/>
      <w:contextualSpacing/>
    </w:pPr>
  </w:style>
  <w:style w:type="character" w:styleId="Mention">
    <w:name w:val="Mention"/>
    <w:basedOn w:val="DefaultParagraphFont"/>
    <w:uiPriority w:val="99"/>
    <w:rsid w:val="003B33D2"/>
    <w:rPr>
      <w:color w:val="2B579A"/>
      <w:shd w:val="clear" w:color="auto" w:fill="E1DFDD"/>
    </w:rPr>
  </w:style>
  <w:style w:type="paragraph" w:styleId="BodyText2">
    <w:name w:val="Body Text 2"/>
    <w:basedOn w:val="Normal"/>
    <w:link w:val="BodyText2Char"/>
    <w:rsid w:val="003B33D2"/>
    <w:pPr>
      <w:spacing w:after="120" w:line="480" w:lineRule="auto"/>
    </w:pPr>
  </w:style>
  <w:style w:type="character" w:customStyle="1" w:styleId="BodyText2Char">
    <w:name w:val="Body Text 2 Char"/>
    <w:basedOn w:val="DefaultParagraphFont"/>
    <w:link w:val="BodyText2"/>
    <w:rsid w:val="003B33D2"/>
    <w:rPr>
      <w:lang w:eastAsia="en-US"/>
    </w:rPr>
  </w:style>
  <w:style w:type="paragraph" w:styleId="BodyText3">
    <w:name w:val="Body Text 3"/>
    <w:basedOn w:val="Normal"/>
    <w:link w:val="BodyText3Char"/>
    <w:rsid w:val="003B33D2"/>
    <w:pPr>
      <w:spacing w:after="120"/>
    </w:pPr>
    <w:rPr>
      <w:sz w:val="16"/>
      <w:szCs w:val="16"/>
    </w:rPr>
  </w:style>
  <w:style w:type="character" w:customStyle="1" w:styleId="BodyText3Char">
    <w:name w:val="Body Text 3 Char"/>
    <w:basedOn w:val="DefaultParagraphFont"/>
    <w:link w:val="BodyText3"/>
    <w:rsid w:val="003B33D2"/>
    <w:rPr>
      <w:sz w:val="16"/>
      <w:szCs w:val="16"/>
      <w:lang w:eastAsia="en-US"/>
    </w:rPr>
  </w:style>
  <w:style w:type="paragraph" w:customStyle="1" w:styleId="aDefinition">
    <w:name w:val="(a) Definition"/>
    <w:basedOn w:val="TLTBodyText"/>
    <w:rsid w:val="00F63368"/>
  </w:style>
  <w:style w:type="numbering" w:customStyle="1" w:styleId="Scheduletext10">
    <w:name w:val="Schedule text1"/>
    <w:uiPriority w:val="99"/>
    <w:rsid w:val="0070219B"/>
  </w:style>
  <w:style w:type="numbering" w:customStyle="1" w:styleId="Bullets1">
    <w:name w:val="Bullets1"/>
    <w:uiPriority w:val="99"/>
    <w:rsid w:val="0070219B"/>
  </w:style>
  <w:style w:type="paragraph" w:customStyle="1" w:styleId="AppendixText1">
    <w:name w:val="Appendix Text 1"/>
    <w:basedOn w:val="Normal"/>
    <w:next w:val="Normal"/>
    <w:rsid w:val="00117BD6"/>
    <w:pPr>
      <w:spacing w:before="100" w:after="200"/>
      <w:ind w:left="720" w:hanging="720"/>
    </w:pPr>
    <w:rPr>
      <w:rFonts w:eastAsia="Times New Roman" w:cs="Times New Roman"/>
      <w:sz w:val="24"/>
      <w:szCs w:val="24"/>
      <w:lang w:eastAsia="en-GB"/>
    </w:rPr>
  </w:style>
  <w:style w:type="paragraph" w:customStyle="1" w:styleId="AppendixText2">
    <w:name w:val="Appendix Text 2"/>
    <w:basedOn w:val="AppendixText1"/>
    <w:next w:val="Normal"/>
    <w:rsid w:val="00117BD6"/>
  </w:style>
  <w:style w:type="numbering" w:customStyle="1" w:styleId="NumbListBodyText">
    <w:name w:val="NumbList Body Text"/>
    <w:uiPriority w:val="99"/>
    <w:rsid w:val="00CF74A4"/>
    <w:pPr>
      <w:numPr>
        <w:numId w:val="166"/>
      </w:numPr>
    </w:pPr>
  </w:style>
  <w:style w:type="numbering" w:customStyle="1" w:styleId="NumbListDefinitions">
    <w:name w:val="NumbList Definitions"/>
    <w:rsid w:val="00CF74A4"/>
    <w:pPr>
      <w:numPr>
        <w:numId w:val="167"/>
      </w:numPr>
    </w:pPr>
  </w:style>
  <w:style w:type="paragraph" w:styleId="FootnoteText">
    <w:name w:val="footnote text"/>
    <w:basedOn w:val="Normal"/>
    <w:link w:val="FootnoteTextChar"/>
    <w:uiPriority w:val="99"/>
    <w:unhideWhenUsed/>
    <w:rsid w:val="00CF74A4"/>
    <w:rPr>
      <w:rFonts w:asciiTheme="minorHAnsi" w:hAnsiTheme="minorHAnsi"/>
    </w:rPr>
  </w:style>
  <w:style w:type="character" w:customStyle="1" w:styleId="FootnoteTextChar">
    <w:name w:val="Footnote Text Char"/>
    <w:basedOn w:val="DefaultParagraphFont"/>
    <w:link w:val="FootnoteText"/>
    <w:uiPriority w:val="99"/>
    <w:rsid w:val="00CF74A4"/>
    <w:rPr>
      <w:rFonts w:asciiTheme="minorHAnsi" w:hAnsiTheme="minorHAnsi"/>
      <w:lang w:eastAsia="en-US"/>
    </w:rPr>
  </w:style>
  <w:style w:type="character" w:styleId="PlaceholderText">
    <w:name w:val="Placeholder Text"/>
    <w:basedOn w:val="DefaultParagraphFont"/>
    <w:uiPriority w:val="99"/>
    <w:semiHidden/>
    <w:rsid w:val="00CF74A4"/>
    <w:rPr>
      <w:color w:val="808080"/>
    </w:rPr>
  </w:style>
  <w:style w:type="paragraph" w:customStyle="1" w:styleId="StdBodyText1">
    <w:name w:val="Std Body Text 1"/>
    <w:basedOn w:val="Normal"/>
    <w:uiPriority w:val="99"/>
    <w:rsid w:val="00CF74A4"/>
    <w:pPr>
      <w:spacing w:before="100" w:after="200"/>
      <w:ind w:left="720"/>
    </w:pPr>
    <w:rPr>
      <w:rFonts w:eastAsia="Times New Roman" w:cs="Times New Roman"/>
      <w:sz w:val="24"/>
      <w:szCs w:val="24"/>
      <w:lang w:eastAsia="en-GB"/>
    </w:rPr>
  </w:style>
  <w:style w:type="character" w:customStyle="1" w:styleId="StdBodyTextBoldChar">
    <w:name w:val="Std Body Text Bold Char"/>
    <w:basedOn w:val="DefaultParagraphFont"/>
    <w:link w:val="StdBodyTextBold"/>
    <w:uiPriority w:val="99"/>
    <w:locked/>
    <w:rsid w:val="00433758"/>
    <w:rPr>
      <w:rFonts w:ascii="Times New Roman" w:eastAsia="Times New Roman" w:hAnsi="Times New Roman" w:cs="Times New Roman"/>
      <w:b/>
      <w:sz w:val="24"/>
      <w:szCs w:val="24"/>
    </w:rPr>
  </w:style>
  <w:style w:type="paragraph" w:customStyle="1" w:styleId="StdBodyTextBold">
    <w:name w:val="Std Body Text Bold"/>
    <w:basedOn w:val="Normal"/>
    <w:next w:val="Normal"/>
    <w:link w:val="StdBodyTextBoldChar"/>
    <w:uiPriority w:val="99"/>
    <w:qFormat/>
    <w:rsid w:val="00433758"/>
    <w:pPr>
      <w:spacing w:before="100" w:after="200"/>
    </w:pPr>
    <w:rPr>
      <w:rFonts w:ascii="Times New Roman" w:eastAsia="Times New Roman" w:hAnsi="Times New Roman" w:cs="Times New Roman"/>
      <w:b/>
      <w:sz w:val="24"/>
      <w:szCs w:val="24"/>
      <w:lang w:eastAsia="en-GB"/>
    </w:rPr>
  </w:style>
  <w:style w:type="table" w:customStyle="1" w:styleId="MSATable-header">
    <w:name w:val="MSA Table - header"/>
    <w:basedOn w:val="TableNormal"/>
    <w:uiPriority w:val="99"/>
    <w:rsid w:val="00433758"/>
    <w:rPr>
      <w:rFonts w:asciiTheme="minorHAnsi" w:hAnsiTheme="minorHAns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0F0F0"/>
      </w:tcPr>
    </w:tblStylePr>
  </w:style>
  <w:style w:type="paragraph" w:customStyle="1" w:styleId="Numbered1">
    <w:name w:val="Numbered 1"/>
    <w:qFormat/>
    <w:rsid w:val="001E4E0E"/>
    <w:pPr>
      <w:keepNext/>
      <w:keepLines/>
      <w:numPr>
        <w:numId w:val="193"/>
      </w:numPr>
      <w:autoSpaceDE w:val="0"/>
      <w:autoSpaceDN w:val="0"/>
      <w:spacing w:before="100" w:after="200"/>
      <w:outlineLvl w:val="1"/>
    </w:pPr>
    <w:rPr>
      <w:rFonts w:eastAsia="Arial" w:cs="Arial"/>
      <w:b/>
      <w:bCs/>
      <w:color w:val="09202E" w:themeColor="text2"/>
      <w:sz w:val="24"/>
      <w:szCs w:val="22"/>
      <w:lang w:eastAsia="en-US" w:bidi="en-US"/>
    </w:rPr>
  </w:style>
  <w:style w:type="paragraph" w:customStyle="1" w:styleId="Numbered11">
    <w:name w:val="Numbered 1.1"/>
    <w:qFormat/>
    <w:rsid w:val="001E4E0E"/>
    <w:pPr>
      <w:widowControl w:val="0"/>
      <w:numPr>
        <w:ilvl w:val="1"/>
        <w:numId w:val="193"/>
      </w:numPr>
      <w:autoSpaceDE w:val="0"/>
      <w:autoSpaceDN w:val="0"/>
      <w:spacing w:before="100" w:after="200"/>
      <w:outlineLvl w:val="2"/>
    </w:pPr>
    <w:rPr>
      <w:rFonts w:asciiTheme="minorHAnsi" w:eastAsia="Arial" w:hAnsiTheme="minorHAnsi" w:cstheme="minorHAnsi"/>
      <w:sz w:val="24"/>
      <w:szCs w:val="24"/>
      <w:lang w:eastAsia="en-US" w:bidi="en-US"/>
    </w:rPr>
  </w:style>
  <w:style w:type="paragraph" w:customStyle="1" w:styleId="Numbered111">
    <w:name w:val="Numbered 1.1.1"/>
    <w:next w:val="Numbered111a"/>
    <w:qFormat/>
    <w:rsid w:val="001E4E0E"/>
    <w:pPr>
      <w:widowControl w:val="0"/>
      <w:numPr>
        <w:ilvl w:val="2"/>
        <w:numId w:val="193"/>
      </w:numPr>
      <w:autoSpaceDE w:val="0"/>
      <w:autoSpaceDN w:val="0"/>
      <w:spacing w:before="100" w:after="200"/>
    </w:pPr>
    <w:rPr>
      <w:rFonts w:eastAsia="Arial" w:cs="Arial"/>
      <w:sz w:val="24"/>
      <w:szCs w:val="22"/>
      <w:lang w:eastAsia="en-US" w:bidi="en-US"/>
    </w:rPr>
  </w:style>
  <w:style w:type="paragraph" w:customStyle="1" w:styleId="Numbered111a">
    <w:name w:val="Numbered 1.1.1(a)"/>
    <w:qFormat/>
    <w:rsid w:val="001E4E0E"/>
    <w:pPr>
      <w:widowControl w:val="0"/>
      <w:numPr>
        <w:ilvl w:val="3"/>
        <w:numId w:val="193"/>
      </w:numPr>
      <w:autoSpaceDE w:val="0"/>
      <w:autoSpaceDN w:val="0"/>
      <w:spacing w:before="100" w:after="200"/>
    </w:pPr>
    <w:rPr>
      <w:rFonts w:eastAsia="Arial" w:cs="Arial"/>
      <w:sz w:val="24"/>
      <w:szCs w:val="24"/>
      <w:lang w:eastAsia="en-US" w:bidi="en-US"/>
    </w:rPr>
  </w:style>
  <w:style w:type="paragraph" w:customStyle="1" w:styleId="Numbered111ai">
    <w:name w:val="Numbered 1.1.1(a)(i)"/>
    <w:basedOn w:val="ListParagraph"/>
    <w:qFormat/>
    <w:rsid w:val="001E4E0E"/>
    <w:pPr>
      <w:widowControl w:val="0"/>
      <w:numPr>
        <w:ilvl w:val="4"/>
        <w:numId w:val="193"/>
      </w:numPr>
      <w:tabs>
        <w:tab w:val="clear" w:pos="3240"/>
      </w:tabs>
      <w:autoSpaceDE w:val="0"/>
      <w:autoSpaceDN w:val="0"/>
      <w:spacing w:before="100" w:after="200" w:line="240" w:lineRule="auto"/>
      <w:ind w:left="720" w:firstLine="0"/>
      <w:contextualSpacing w:val="0"/>
    </w:pPr>
    <w:rPr>
      <w:rFonts w:eastAsia="Arial" w:cstheme="minorHAnsi"/>
      <w:sz w:val="24"/>
      <w:szCs w:val="24"/>
      <w:lang w:bidi="en-US"/>
    </w:rPr>
  </w:style>
  <w:style w:type="paragraph" w:customStyle="1" w:styleId="StdBodyText">
    <w:name w:val="Std Body Text"/>
    <w:basedOn w:val="Normal"/>
    <w:uiPriority w:val="99"/>
    <w:qFormat/>
    <w:rsid w:val="007F552F"/>
    <w:pPr>
      <w:spacing w:before="100" w:after="200"/>
    </w:pPr>
    <w:rPr>
      <w:rFonts w:eastAsia="Times New Roman" w:cs="Times New Roman"/>
      <w:sz w:val="24"/>
      <w:szCs w:val="24"/>
      <w:lang w:eastAsia="en-GB"/>
    </w:rPr>
  </w:style>
  <w:style w:type="paragraph" w:customStyle="1" w:styleId="TableText">
    <w:name w:val="Table Text"/>
    <w:basedOn w:val="Normal"/>
    <w:uiPriority w:val="99"/>
    <w:semiHidden/>
    <w:rsid w:val="007F552F"/>
    <w:pPr>
      <w:spacing w:before="120" w:after="120"/>
    </w:pPr>
    <w:rPr>
      <w:rFonts w:eastAsia="Times New Roman" w:cs="Arial"/>
      <w:sz w:val="24"/>
      <w:szCs w:val="24"/>
      <w:lang w:eastAsia="en-GB"/>
    </w:rPr>
  </w:style>
  <w:style w:type="character" w:customStyle="1" w:styleId="normaltextrun">
    <w:name w:val="normaltextrun"/>
    <w:basedOn w:val="DefaultParagraphFont"/>
    <w:rsid w:val="00761E59"/>
  </w:style>
  <w:style w:type="character" w:customStyle="1" w:styleId="IntenseQuoteChar">
    <w:name w:val="Intense Quote Char"/>
    <w:basedOn w:val="DefaultParagraphFont"/>
    <w:link w:val="IntenseQuote"/>
    <w:uiPriority w:val="30"/>
    <w:rsid w:val="00583261"/>
    <w:rPr>
      <w:i/>
      <w:iCs/>
      <w:color w:val="061722" w:themeColor="accent1" w:themeShade="BF"/>
    </w:rPr>
  </w:style>
  <w:style w:type="paragraph" w:styleId="IntenseQuote">
    <w:name w:val="Intense Quote"/>
    <w:basedOn w:val="Normal"/>
    <w:next w:val="Normal"/>
    <w:link w:val="IntenseQuoteChar"/>
    <w:uiPriority w:val="30"/>
    <w:qFormat/>
    <w:rsid w:val="00583261"/>
    <w:pPr>
      <w:pBdr>
        <w:top w:val="single" w:sz="4" w:space="10" w:color="061722" w:themeColor="accent1" w:themeShade="BF"/>
        <w:bottom w:val="single" w:sz="4" w:space="10" w:color="061722" w:themeColor="accent1" w:themeShade="BF"/>
      </w:pBdr>
      <w:spacing w:before="360" w:after="360" w:line="279" w:lineRule="auto"/>
      <w:ind w:left="864" w:right="864"/>
      <w:jc w:val="center"/>
    </w:pPr>
    <w:rPr>
      <w:i/>
      <w:iCs/>
      <w:color w:val="061722" w:themeColor="accent1" w:themeShade="BF"/>
      <w:lang w:eastAsia="en-GB"/>
    </w:rPr>
  </w:style>
  <w:style w:type="character" w:customStyle="1" w:styleId="IntenseQuoteChar1">
    <w:name w:val="Intense Quote Char1"/>
    <w:basedOn w:val="DefaultParagraphFont"/>
    <w:uiPriority w:val="99"/>
    <w:semiHidden/>
    <w:rsid w:val="00583261"/>
    <w:rPr>
      <w:i/>
      <w:iCs/>
      <w:color w:val="09202E"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49416">
      <w:bodyDiv w:val="1"/>
      <w:marLeft w:val="0"/>
      <w:marRight w:val="0"/>
      <w:marTop w:val="0"/>
      <w:marBottom w:val="0"/>
      <w:divBdr>
        <w:top w:val="none" w:sz="0" w:space="0" w:color="auto"/>
        <w:left w:val="none" w:sz="0" w:space="0" w:color="auto"/>
        <w:bottom w:val="none" w:sz="0" w:space="0" w:color="auto"/>
        <w:right w:val="none" w:sz="0" w:space="0" w:color="auto"/>
      </w:divBdr>
    </w:div>
    <w:div w:id="43260388">
      <w:bodyDiv w:val="1"/>
      <w:marLeft w:val="0"/>
      <w:marRight w:val="0"/>
      <w:marTop w:val="0"/>
      <w:marBottom w:val="0"/>
      <w:divBdr>
        <w:top w:val="none" w:sz="0" w:space="0" w:color="auto"/>
        <w:left w:val="none" w:sz="0" w:space="0" w:color="auto"/>
        <w:bottom w:val="none" w:sz="0" w:space="0" w:color="auto"/>
        <w:right w:val="none" w:sz="0" w:space="0" w:color="auto"/>
      </w:divBdr>
    </w:div>
    <w:div w:id="110127060">
      <w:bodyDiv w:val="1"/>
      <w:marLeft w:val="0"/>
      <w:marRight w:val="0"/>
      <w:marTop w:val="0"/>
      <w:marBottom w:val="0"/>
      <w:divBdr>
        <w:top w:val="none" w:sz="0" w:space="0" w:color="auto"/>
        <w:left w:val="none" w:sz="0" w:space="0" w:color="auto"/>
        <w:bottom w:val="none" w:sz="0" w:space="0" w:color="auto"/>
        <w:right w:val="none" w:sz="0" w:space="0" w:color="auto"/>
      </w:divBdr>
    </w:div>
    <w:div w:id="138693161">
      <w:bodyDiv w:val="1"/>
      <w:marLeft w:val="0"/>
      <w:marRight w:val="0"/>
      <w:marTop w:val="0"/>
      <w:marBottom w:val="0"/>
      <w:divBdr>
        <w:top w:val="none" w:sz="0" w:space="0" w:color="auto"/>
        <w:left w:val="none" w:sz="0" w:space="0" w:color="auto"/>
        <w:bottom w:val="none" w:sz="0" w:space="0" w:color="auto"/>
        <w:right w:val="none" w:sz="0" w:space="0" w:color="auto"/>
      </w:divBdr>
    </w:div>
    <w:div w:id="147982197">
      <w:bodyDiv w:val="1"/>
      <w:marLeft w:val="0"/>
      <w:marRight w:val="0"/>
      <w:marTop w:val="0"/>
      <w:marBottom w:val="0"/>
      <w:divBdr>
        <w:top w:val="none" w:sz="0" w:space="0" w:color="auto"/>
        <w:left w:val="none" w:sz="0" w:space="0" w:color="auto"/>
        <w:bottom w:val="none" w:sz="0" w:space="0" w:color="auto"/>
        <w:right w:val="none" w:sz="0" w:space="0" w:color="auto"/>
      </w:divBdr>
    </w:div>
    <w:div w:id="165219641">
      <w:bodyDiv w:val="1"/>
      <w:marLeft w:val="0"/>
      <w:marRight w:val="0"/>
      <w:marTop w:val="0"/>
      <w:marBottom w:val="0"/>
      <w:divBdr>
        <w:top w:val="none" w:sz="0" w:space="0" w:color="auto"/>
        <w:left w:val="none" w:sz="0" w:space="0" w:color="auto"/>
        <w:bottom w:val="none" w:sz="0" w:space="0" w:color="auto"/>
        <w:right w:val="none" w:sz="0" w:space="0" w:color="auto"/>
      </w:divBdr>
    </w:div>
    <w:div w:id="195316079">
      <w:bodyDiv w:val="1"/>
      <w:marLeft w:val="0"/>
      <w:marRight w:val="0"/>
      <w:marTop w:val="0"/>
      <w:marBottom w:val="0"/>
      <w:divBdr>
        <w:top w:val="none" w:sz="0" w:space="0" w:color="auto"/>
        <w:left w:val="none" w:sz="0" w:space="0" w:color="auto"/>
        <w:bottom w:val="none" w:sz="0" w:space="0" w:color="auto"/>
        <w:right w:val="none" w:sz="0" w:space="0" w:color="auto"/>
      </w:divBdr>
    </w:div>
    <w:div w:id="271477999">
      <w:bodyDiv w:val="1"/>
      <w:marLeft w:val="0"/>
      <w:marRight w:val="0"/>
      <w:marTop w:val="0"/>
      <w:marBottom w:val="0"/>
      <w:divBdr>
        <w:top w:val="none" w:sz="0" w:space="0" w:color="auto"/>
        <w:left w:val="none" w:sz="0" w:space="0" w:color="auto"/>
        <w:bottom w:val="none" w:sz="0" w:space="0" w:color="auto"/>
        <w:right w:val="none" w:sz="0" w:space="0" w:color="auto"/>
      </w:divBdr>
    </w:div>
    <w:div w:id="363747893">
      <w:bodyDiv w:val="1"/>
      <w:marLeft w:val="0"/>
      <w:marRight w:val="0"/>
      <w:marTop w:val="0"/>
      <w:marBottom w:val="0"/>
      <w:divBdr>
        <w:top w:val="none" w:sz="0" w:space="0" w:color="auto"/>
        <w:left w:val="none" w:sz="0" w:space="0" w:color="auto"/>
        <w:bottom w:val="none" w:sz="0" w:space="0" w:color="auto"/>
        <w:right w:val="none" w:sz="0" w:space="0" w:color="auto"/>
      </w:divBdr>
    </w:div>
    <w:div w:id="390931272">
      <w:bodyDiv w:val="1"/>
      <w:marLeft w:val="0"/>
      <w:marRight w:val="0"/>
      <w:marTop w:val="0"/>
      <w:marBottom w:val="0"/>
      <w:divBdr>
        <w:top w:val="none" w:sz="0" w:space="0" w:color="auto"/>
        <w:left w:val="none" w:sz="0" w:space="0" w:color="auto"/>
        <w:bottom w:val="none" w:sz="0" w:space="0" w:color="auto"/>
        <w:right w:val="none" w:sz="0" w:space="0" w:color="auto"/>
      </w:divBdr>
    </w:div>
    <w:div w:id="560099044">
      <w:bodyDiv w:val="1"/>
      <w:marLeft w:val="0"/>
      <w:marRight w:val="0"/>
      <w:marTop w:val="0"/>
      <w:marBottom w:val="0"/>
      <w:divBdr>
        <w:top w:val="none" w:sz="0" w:space="0" w:color="auto"/>
        <w:left w:val="none" w:sz="0" w:space="0" w:color="auto"/>
        <w:bottom w:val="none" w:sz="0" w:space="0" w:color="auto"/>
        <w:right w:val="none" w:sz="0" w:space="0" w:color="auto"/>
      </w:divBdr>
    </w:div>
    <w:div w:id="570894240">
      <w:bodyDiv w:val="1"/>
      <w:marLeft w:val="0"/>
      <w:marRight w:val="0"/>
      <w:marTop w:val="0"/>
      <w:marBottom w:val="0"/>
      <w:divBdr>
        <w:top w:val="none" w:sz="0" w:space="0" w:color="auto"/>
        <w:left w:val="none" w:sz="0" w:space="0" w:color="auto"/>
        <w:bottom w:val="none" w:sz="0" w:space="0" w:color="auto"/>
        <w:right w:val="none" w:sz="0" w:space="0" w:color="auto"/>
      </w:divBdr>
    </w:div>
    <w:div w:id="585650170">
      <w:bodyDiv w:val="1"/>
      <w:marLeft w:val="0"/>
      <w:marRight w:val="0"/>
      <w:marTop w:val="0"/>
      <w:marBottom w:val="0"/>
      <w:divBdr>
        <w:top w:val="none" w:sz="0" w:space="0" w:color="auto"/>
        <w:left w:val="none" w:sz="0" w:space="0" w:color="auto"/>
        <w:bottom w:val="none" w:sz="0" w:space="0" w:color="auto"/>
        <w:right w:val="none" w:sz="0" w:space="0" w:color="auto"/>
      </w:divBdr>
    </w:div>
    <w:div w:id="599341443">
      <w:bodyDiv w:val="1"/>
      <w:marLeft w:val="0"/>
      <w:marRight w:val="0"/>
      <w:marTop w:val="0"/>
      <w:marBottom w:val="0"/>
      <w:divBdr>
        <w:top w:val="none" w:sz="0" w:space="0" w:color="auto"/>
        <w:left w:val="none" w:sz="0" w:space="0" w:color="auto"/>
        <w:bottom w:val="none" w:sz="0" w:space="0" w:color="auto"/>
        <w:right w:val="none" w:sz="0" w:space="0" w:color="auto"/>
      </w:divBdr>
    </w:div>
    <w:div w:id="675306775">
      <w:bodyDiv w:val="1"/>
      <w:marLeft w:val="0"/>
      <w:marRight w:val="0"/>
      <w:marTop w:val="0"/>
      <w:marBottom w:val="0"/>
      <w:divBdr>
        <w:top w:val="none" w:sz="0" w:space="0" w:color="auto"/>
        <w:left w:val="none" w:sz="0" w:space="0" w:color="auto"/>
        <w:bottom w:val="none" w:sz="0" w:space="0" w:color="auto"/>
        <w:right w:val="none" w:sz="0" w:space="0" w:color="auto"/>
      </w:divBdr>
    </w:div>
    <w:div w:id="725881001">
      <w:bodyDiv w:val="1"/>
      <w:marLeft w:val="0"/>
      <w:marRight w:val="0"/>
      <w:marTop w:val="0"/>
      <w:marBottom w:val="0"/>
      <w:divBdr>
        <w:top w:val="none" w:sz="0" w:space="0" w:color="auto"/>
        <w:left w:val="none" w:sz="0" w:space="0" w:color="auto"/>
        <w:bottom w:val="none" w:sz="0" w:space="0" w:color="auto"/>
        <w:right w:val="none" w:sz="0" w:space="0" w:color="auto"/>
      </w:divBdr>
    </w:div>
    <w:div w:id="782728043">
      <w:bodyDiv w:val="1"/>
      <w:marLeft w:val="0"/>
      <w:marRight w:val="0"/>
      <w:marTop w:val="0"/>
      <w:marBottom w:val="0"/>
      <w:divBdr>
        <w:top w:val="none" w:sz="0" w:space="0" w:color="auto"/>
        <w:left w:val="none" w:sz="0" w:space="0" w:color="auto"/>
        <w:bottom w:val="none" w:sz="0" w:space="0" w:color="auto"/>
        <w:right w:val="none" w:sz="0" w:space="0" w:color="auto"/>
      </w:divBdr>
    </w:div>
    <w:div w:id="840704288">
      <w:bodyDiv w:val="1"/>
      <w:marLeft w:val="0"/>
      <w:marRight w:val="0"/>
      <w:marTop w:val="0"/>
      <w:marBottom w:val="0"/>
      <w:divBdr>
        <w:top w:val="none" w:sz="0" w:space="0" w:color="auto"/>
        <w:left w:val="none" w:sz="0" w:space="0" w:color="auto"/>
        <w:bottom w:val="none" w:sz="0" w:space="0" w:color="auto"/>
        <w:right w:val="none" w:sz="0" w:space="0" w:color="auto"/>
      </w:divBdr>
    </w:div>
    <w:div w:id="962999803">
      <w:bodyDiv w:val="1"/>
      <w:marLeft w:val="0"/>
      <w:marRight w:val="0"/>
      <w:marTop w:val="0"/>
      <w:marBottom w:val="0"/>
      <w:divBdr>
        <w:top w:val="none" w:sz="0" w:space="0" w:color="auto"/>
        <w:left w:val="none" w:sz="0" w:space="0" w:color="auto"/>
        <w:bottom w:val="none" w:sz="0" w:space="0" w:color="auto"/>
        <w:right w:val="none" w:sz="0" w:space="0" w:color="auto"/>
      </w:divBdr>
    </w:div>
    <w:div w:id="1006247987">
      <w:bodyDiv w:val="1"/>
      <w:marLeft w:val="0"/>
      <w:marRight w:val="0"/>
      <w:marTop w:val="0"/>
      <w:marBottom w:val="0"/>
      <w:divBdr>
        <w:top w:val="none" w:sz="0" w:space="0" w:color="auto"/>
        <w:left w:val="none" w:sz="0" w:space="0" w:color="auto"/>
        <w:bottom w:val="none" w:sz="0" w:space="0" w:color="auto"/>
        <w:right w:val="none" w:sz="0" w:space="0" w:color="auto"/>
      </w:divBdr>
    </w:div>
    <w:div w:id="1204827502">
      <w:bodyDiv w:val="1"/>
      <w:marLeft w:val="0"/>
      <w:marRight w:val="0"/>
      <w:marTop w:val="0"/>
      <w:marBottom w:val="0"/>
      <w:divBdr>
        <w:top w:val="none" w:sz="0" w:space="0" w:color="auto"/>
        <w:left w:val="none" w:sz="0" w:space="0" w:color="auto"/>
        <w:bottom w:val="none" w:sz="0" w:space="0" w:color="auto"/>
        <w:right w:val="none" w:sz="0" w:space="0" w:color="auto"/>
      </w:divBdr>
    </w:div>
    <w:div w:id="1297680918">
      <w:bodyDiv w:val="1"/>
      <w:marLeft w:val="0"/>
      <w:marRight w:val="0"/>
      <w:marTop w:val="0"/>
      <w:marBottom w:val="0"/>
      <w:divBdr>
        <w:top w:val="none" w:sz="0" w:space="0" w:color="auto"/>
        <w:left w:val="none" w:sz="0" w:space="0" w:color="auto"/>
        <w:bottom w:val="none" w:sz="0" w:space="0" w:color="auto"/>
        <w:right w:val="none" w:sz="0" w:space="0" w:color="auto"/>
      </w:divBdr>
    </w:div>
    <w:div w:id="1306623597">
      <w:bodyDiv w:val="1"/>
      <w:marLeft w:val="0"/>
      <w:marRight w:val="0"/>
      <w:marTop w:val="0"/>
      <w:marBottom w:val="0"/>
      <w:divBdr>
        <w:top w:val="none" w:sz="0" w:space="0" w:color="auto"/>
        <w:left w:val="none" w:sz="0" w:space="0" w:color="auto"/>
        <w:bottom w:val="none" w:sz="0" w:space="0" w:color="auto"/>
        <w:right w:val="none" w:sz="0" w:space="0" w:color="auto"/>
      </w:divBdr>
    </w:div>
    <w:div w:id="1496649282">
      <w:bodyDiv w:val="1"/>
      <w:marLeft w:val="0"/>
      <w:marRight w:val="0"/>
      <w:marTop w:val="0"/>
      <w:marBottom w:val="0"/>
      <w:divBdr>
        <w:top w:val="none" w:sz="0" w:space="0" w:color="auto"/>
        <w:left w:val="none" w:sz="0" w:space="0" w:color="auto"/>
        <w:bottom w:val="none" w:sz="0" w:space="0" w:color="auto"/>
        <w:right w:val="none" w:sz="0" w:space="0" w:color="auto"/>
      </w:divBdr>
    </w:div>
    <w:div w:id="1565488952">
      <w:bodyDiv w:val="1"/>
      <w:marLeft w:val="0"/>
      <w:marRight w:val="0"/>
      <w:marTop w:val="0"/>
      <w:marBottom w:val="0"/>
      <w:divBdr>
        <w:top w:val="none" w:sz="0" w:space="0" w:color="auto"/>
        <w:left w:val="none" w:sz="0" w:space="0" w:color="auto"/>
        <w:bottom w:val="none" w:sz="0" w:space="0" w:color="auto"/>
        <w:right w:val="none" w:sz="0" w:space="0" w:color="auto"/>
      </w:divBdr>
    </w:div>
    <w:div w:id="1645619745">
      <w:bodyDiv w:val="1"/>
      <w:marLeft w:val="0"/>
      <w:marRight w:val="0"/>
      <w:marTop w:val="0"/>
      <w:marBottom w:val="0"/>
      <w:divBdr>
        <w:top w:val="none" w:sz="0" w:space="0" w:color="auto"/>
        <w:left w:val="none" w:sz="0" w:space="0" w:color="auto"/>
        <w:bottom w:val="none" w:sz="0" w:space="0" w:color="auto"/>
        <w:right w:val="none" w:sz="0" w:space="0" w:color="auto"/>
      </w:divBdr>
    </w:div>
    <w:div w:id="1687173782">
      <w:bodyDiv w:val="1"/>
      <w:marLeft w:val="0"/>
      <w:marRight w:val="0"/>
      <w:marTop w:val="0"/>
      <w:marBottom w:val="0"/>
      <w:divBdr>
        <w:top w:val="none" w:sz="0" w:space="0" w:color="auto"/>
        <w:left w:val="none" w:sz="0" w:space="0" w:color="auto"/>
        <w:bottom w:val="none" w:sz="0" w:space="0" w:color="auto"/>
        <w:right w:val="none" w:sz="0" w:space="0" w:color="auto"/>
      </w:divBdr>
    </w:div>
    <w:div w:id="1689138250">
      <w:bodyDiv w:val="1"/>
      <w:marLeft w:val="0"/>
      <w:marRight w:val="0"/>
      <w:marTop w:val="0"/>
      <w:marBottom w:val="0"/>
      <w:divBdr>
        <w:top w:val="none" w:sz="0" w:space="0" w:color="auto"/>
        <w:left w:val="none" w:sz="0" w:space="0" w:color="auto"/>
        <w:bottom w:val="none" w:sz="0" w:space="0" w:color="auto"/>
        <w:right w:val="none" w:sz="0" w:space="0" w:color="auto"/>
      </w:divBdr>
    </w:div>
    <w:div w:id="1770004400">
      <w:bodyDiv w:val="1"/>
      <w:marLeft w:val="0"/>
      <w:marRight w:val="0"/>
      <w:marTop w:val="0"/>
      <w:marBottom w:val="0"/>
      <w:divBdr>
        <w:top w:val="none" w:sz="0" w:space="0" w:color="auto"/>
        <w:left w:val="none" w:sz="0" w:space="0" w:color="auto"/>
        <w:bottom w:val="none" w:sz="0" w:space="0" w:color="auto"/>
        <w:right w:val="none" w:sz="0" w:space="0" w:color="auto"/>
      </w:divBdr>
    </w:div>
    <w:div w:id="1808695070">
      <w:bodyDiv w:val="1"/>
      <w:marLeft w:val="0"/>
      <w:marRight w:val="0"/>
      <w:marTop w:val="0"/>
      <w:marBottom w:val="0"/>
      <w:divBdr>
        <w:top w:val="none" w:sz="0" w:space="0" w:color="auto"/>
        <w:left w:val="none" w:sz="0" w:space="0" w:color="auto"/>
        <w:bottom w:val="none" w:sz="0" w:space="0" w:color="auto"/>
        <w:right w:val="none" w:sz="0" w:space="0" w:color="auto"/>
      </w:divBdr>
    </w:div>
    <w:div w:id="1845708780">
      <w:bodyDiv w:val="1"/>
      <w:marLeft w:val="0"/>
      <w:marRight w:val="0"/>
      <w:marTop w:val="0"/>
      <w:marBottom w:val="0"/>
      <w:divBdr>
        <w:top w:val="none" w:sz="0" w:space="0" w:color="auto"/>
        <w:left w:val="none" w:sz="0" w:space="0" w:color="auto"/>
        <w:bottom w:val="none" w:sz="0" w:space="0" w:color="auto"/>
        <w:right w:val="none" w:sz="0" w:space="0" w:color="auto"/>
      </w:divBdr>
    </w:div>
    <w:div w:id="1857301624">
      <w:bodyDiv w:val="1"/>
      <w:marLeft w:val="0"/>
      <w:marRight w:val="0"/>
      <w:marTop w:val="0"/>
      <w:marBottom w:val="0"/>
      <w:divBdr>
        <w:top w:val="none" w:sz="0" w:space="0" w:color="auto"/>
        <w:left w:val="none" w:sz="0" w:space="0" w:color="auto"/>
        <w:bottom w:val="none" w:sz="0" w:space="0" w:color="auto"/>
        <w:right w:val="none" w:sz="0" w:space="0" w:color="auto"/>
      </w:divBdr>
    </w:div>
    <w:div w:id="1918174755">
      <w:bodyDiv w:val="1"/>
      <w:marLeft w:val="0"/>
      <w:marRight w:val="0"/>
      <w:marTop w:val="0"/>
      <w:marBottom w:val="0"/>
      <w:divBdr>
        <w:top w:val="none" w:sz="0" w:space="0" w:color="auto"/>
        <w:left w:val="none" w:sz="0" w:space="0" w:color="auto"/>
        <w:bottom w:val="none" w:sz="0" w:space="0" w:color="auto"/>
        <w:right w:val="none" w:sz="0" w:space="0" w:color="auto"/>
      </w:divBdr>
    </w:div>
    <w:div w:id="1956716648">
      <w:bodyDiv w:val="1"/>
      <w:marLeft w:val="0"/>
      <w:marRight w:val="0"/>
      <w:marTop w:val="0"/>
      <w:marBottom w:val="0"/>
      <w:divBdr>
        <w:top w:val="none" w:sz="0" w:space="0" w:color="auto"/>
        <w:left w:val="none" w:sz="0" w:space="0" w:color="auto"/>
        <w:bottom w:val="none" w:sz="0" w:space="0" w:color="auto"/>
        <w:right w:val="none" w:sz="0" w:space="0" w:color="auto"/>
      </w:divBdr>
    </w:div>
    <w:div w:id="1971130055">
      <w:bodyDiv w:val="1"/>
      <w:marLeft w:val="0"/>
      <w:marRight w:val="0"/>
      <w:marTop w:val="0"/>
      <w:marBottom w:val="0"/>
      <w:divBdr>
        <w:top w:val="none" w:sz="0" w:space="0" w:color="auto"/>
        <w:left w:val="none" w:sz="0" w:space="0" w:color="auto"/>
        <w:bottom w:val="none" w:sz="0" w:space="0" w:color="auto"/>
        <w:right w:val="none" w:sz="0" w:space="0" w:color="auto"/>
      </w:divBdr>
    </w:div>
    <w:div w:id="2001807843">
      <w:bodyDiv w:val="1"/>
      <w:marLeft w:val="0"/>
      <w:marRight w:val="0"/>
      <w:marTop w:val="0"/>
      <w:marBottom w:val="0"/>
      <w:divBdr>
        <w:top w:val="none" w:sz="0" w:space="0" w:color="auto"/>
        <w:left w:val="none" w:sz="0" w:space="0" w:color="auto"/>
        <w:bottom w:val="none" w:sz="0" w:space="0" w:color="auto"/>
        <w:right w:val="none" w:sz="0" w:space="0" w:color="auto"/>
      </w:divBdr>
    </w:div>
    <w:div w:id="2085951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overnment-security-classifications" TargetMode="External"/><Relationship Id="rId13" Type="http://schemas.openxmlformats.org/officeDocument/2006/relationships/hyperlink" Target="https://www.npsa.gov.uk/advice-guidance" TargetMode="External"/><Relationship Id="rId18" Type="http://schemas.openxmlformats.org/officeDocument/2006/relationships/hyperlink" Target="https://learn.microsoft.com/en-us/security/benchmark/azure/" TargetMode="External"/><Relationship Id="rId26" Type="http://schemas.openxmlformats.org/officeDocument/2006/relationships/hyperlink" Target="https://owasp.org/www-project-top-ten/" TargetMode="External"/><Relationship Id="rId3" Type="http://schemas.openxmlformats.org/officeDocument/2006/relationships/settings" Target="settings.xml"/><Relationship Id="rId21" Type="http://schemas.openxmlformats.org/officeDocument/2006/relationships/hyperlink" Target="https://www.cisecurity.org/benchmark/red_hat_linux" TargetMode="External"/><Relationship Id="rId7" Type="http://schemas.openxmlformats.org/officeDocument/2006/relationships/hyperlink" Target="https://www.gov.uk/government/publications/government-baseline-personnel-security-standard" TargetMode="External"/><Relationship Id="rId12" Type="http://schemas.openxmlformats.org/officeDocument/2006/relationships/hyperlink" Target="https://www.ncsc.gov.uk/guidance/using-tls-to-protect-data" TargetMode="External"/><Relationship Id="rId17" Type="http://schemas.openxmlformats.org/officeDocument/2006/relationships/hyperlink" Target="https://www.ncsc.gov.uk/guidance/preventing-lateral-movement" TargetMode="External"/><Relationship Id="rId25" Type="http://schemas.openxmlformats.org/officeDocument/2006/relationships/hyperlink" Target="https://www.ncsc.gov.uk/collection/protecting-bulk-personal-data" TargetMode="External"/><Relationship Id="rId2" Type="http://schemas.openxmlformats.org/officeDocument/2006/relationships/styles" Target="styles.xml"/><Relationship Id="rId16" Type="http://schemas.openxmlformats.org/officeDocument/2006/relationships/hyperlink" Target="https://www.ncsc.gov.uk/files/NCSC_SOC_Feeds.pdf" TargetMode="External"/><Relationship Id="rId20" Type="http://schemas.openxmlformats.org/officeDocument/2006/relationships/hyperlink" Target="https://www.ncsc.gov.uk/collection/device-security-guidance/platform-guides/window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sc.gov.uk/collection/cloud/the-cloud-security-principles/principle-2-asset-protection-and-resilience" TargetMode="External"/><Relationship Id="rId24" Type="http://schemas.openxmlformats.org/officeDocument/2006/relationships/hyperlink" Target="https://www.ncsc.gov.uk/collection/cyber-security-design-principles/cyber-security-design-principle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sc.gov.uk/collection/device-security-guidance" TargetMode="External"/><Relationship Id="rId23" Type="http://schemas.openxmlformats.org/officeDocument/2006/relationships/hyperlink" Target="https://www.ncsc.gov.uk/collection/caf" TargetMode="External"/><Relationship Id="rId28" Type="http://schemas.openxmlformats.org/officeDocument/2006/relationships/hyperlink" Target="https://www.ncsc.gov.uk/information/check-penetration-testing" TargetMode="External"/><Relationship Id="rId10" Type="http://schemas.openxmlformats.org/officeDocument/2006/relationships/hyperlink" Target="https://www.ncsc.gov.uk/collection/cloud/understanding-cloud-services/choosing-and-configuring-a-kms-for-secure-key-management-in-the-cloud" TargetMode="External"/><Relationship Id="rId19" Type="http://schemas.openxmlformats.org/officeDocument/2006/relationships/hyperlink" Target="https://docs.aws.amazon.com/securit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c.gov.uk/guidance/secure-sanitisation-storage-media" TargetMode="External"/><Relationship Id="rId14" Type="http://schemas.openxmlformats.org/officeDocument/2006/relationships/hyperlink" Target="https://www.ncsc.gov.uk/guidance/pattern-safely-importing-data" TargetMode="External"/><Relationship Id="rId22" Type="http://schemas.openxmlformats.org/officeDocument/2006/relationships/hyperlink" Target="https://www.ncsc.gov.uk/collection/cloud/the-cloud-security-principles" TargetMode="External"/><Relationship Id="rId27" Type="http://schemas.openxmlformats.org/officeDocument/2006/relationships/hyperlink" Target="https://www.iso.org/standard/75106.html" TargetMode="External"/><Relationship Id="rId30" Type="http://schemas.openxmlformats.org/officeDocument/2006/relationships/footer" Target="footer2.xml"/></Relationships>
</file>

<file path=word/theme/theme1.xml><?xml version="1.0" encoding="utf-8"?>
<a:theme xmlns:a="http://schemas.openxmlformats.org/drawingml/2006/main" name="TLT">
  <a:themeElements>
    <a:clrScheme name="TLT">
      <a:dk1>
        <a:srgbClr val="000000"/>
      </a:dk1>
      <a:lt1>
        <a:srgbClr val="FFFFFF"/>
      </a:lt1>
      <a:dk2>
        <a:srgbClr val="09202E"/>
      </a:dk2>
      <a:lt2>
        <a:srgbClr val="00B3BA"/>
      </a:lt2>
      <a:accent1>
        <a:srgbClr val="09202E"/>
      </a:accent1>
      <a:accent2>
        <a:srgbClr val="00B3BA"/>
      </a:accent2>
      <a:accent3>
        <a:srgbClr val="044E71"/>
      </a:accent3>
      <a:accent4>
        <a:srgbClr val="A8A8A7"/>
      </a:accent4>
      <a:accent5>
        <a:srgbClr val="E84622"/>
      </a:accent5>
      <a:accent6>
        <a:srgbClr val="00953E"/>
      </a:accent6>
      <a:hlink>
        <a:srgbClr val="00B3BA"/>
      </a:hlink>
      <a:folHlink>
        <a:srgbClr val="00B3B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4520</Words>
  <Characters>25769</Characters>
  <Application>Microsoft Office Word</Application>
  <DocSecurity>0</DocSecurity>
  <Lines>214</Lines>
  <Paragraphs>60</Paragraphs>
  <ScaleCrop>false</ScaleCrop>
  <Company/>
  <LinksUpToDate>false</LinksUpToDate>
  <CharactersWithSpaces>30229</CharactersWithSpaces>
  <SharedDoc>false</SharedDoc>
  <HLinks>
    <vt:vector size="498" baseType="variant">
      <vt:variant>
        <vt:i4>131159</vt:i4>
      </vt:variant>
      <vt:variant>
        <vt:i4>494</vt:i4>
      </vt:variant>
      <vt:variant>
        <vt:i4>0</vt:i4>
      </vt:variant>
      <vt:variant>
        <vt:i4>5</vt:i4>
      </vt:variant>
      <vt:variant>
        <vt:lpwstr>https://www.nhs.uk/service-search/other-health-services/local-authority-adult-social-care</vt:lpwstr>
      </vt:variant>
      <vt:variant>
        <vt:lpwstr/>
      </vt:variant>
      <vt:variant>
        <vt:i4>4128888</vt:i4>
      </vt:variant>
      <vt:variant>
        <vt:i4>491</vt:i4>
      </vt:variant>
      <vt:variant>
        <vt:i4>0</vt:i4>
      </vt:variant>
      <vt:variant>
        <vt:i4>5</vt:i4>
      </vt:variant>
      <vt:variant>
        <vt:lpwstr>https://www.gov.uk/report-child-abuse-to-local-council</vt:lpwstr>
      </vt:variant>
      <vt:variant>
        <vt:lpwstr/>
      </vt:variant>
      <vt:variant>
        <vt:i4>131074</vt:i4>
      </vt:variant>
      <vt:variant>
        <vt:i4>488</vt:i4>
      </vt:variant>
      <vt:variant>
        <vt:i4>0</vt:i4>
      </vt:variant>
      <vt:variant>
        <vt:i4>5</vt:i4>
      </vt:variant>
      <vt:variant>
        <vt:lpwstr>https://www.police.uk/pu/contact-the-police/report-a-crime-incident/</vt:lpwstr>
      </vt:variant>
      <vt:variant>
        <vt:lpwstr/>
      </vt:variant>
      <vt:variant>
        <vt:i4>5242965</vt:i4>
      </vt:variant>
      <vt:variant>
        <vt:i4>485</vt:i4>
      </vt:variant>
      <vt:variant>
        <vt:i4>0</vt:i4>
      </vt:variant>
      <vt:variant>
        <vt:i4>5</vt:i4>
      </vt:variant>
      <vt:variant>
        <vt:lpwstr>https://www.legislation.gov.uk/ukpga/1993/38/contents</vt:lpwstr>
      </vt:variant>
      <vt:variant>
        <vt:lpwstr/>
      </vt:variant>
      <vt:variant>
        <vt:i4>3276874</vt:i4>
      </vt:variant>
      <vt:variant>
        <vt:i4>482</vt:i4>
      </vt:variant>
      <vt:variant>
        <vt:i4>0</vt:i4>
      </vt:variant>
      <vt:variant>
        <vt:i4>5</vt:i4>
      </vt:variant>
      <vt:variant>
        <vt:lpwstr>https://assets.publishing.service.gov.uk/media/651d4cd16a6955001278b2c5/HMCTS_Welsh_Language_Scheme_2023_-26.save.pdf</vt:lpwstr>
      </vt:variant>
      <vt:variant>
        <vt:lpwstr/>
      </vt:variant>
      <vt:variant>
        <vt:i4>1048634</vt:i4>
      </vt:variant>
      <vt:variant>
        <vt:i4>467</vt:i4>
      </vt:variant>
      <vt:variant>
        <vt:i4>0</vt:i4>
      </vt:variant>
      <vt:variant>
        <vt:i4>5</vt:i4>
      </vt:variant>
      <vt:variant>
        <vt:lpwstr/>
      </vt:variant>
      <vt:variant>
        <vt:lpwstr>_Toc177752958</vt:lpwstr>
      </vt:variant>
      <vt:variant>
        <vt:i4>1048634</vt:i4>
      </vt:variant>
      <vt:variant>
        <vt:i4>461</vt:i4>
      </vt:variant>
      <vt:variant>
        <vt:i4>0</vt:i4>
      </vt:variant>
      <vt:variant>
        <vt:i4>5</vt:i4>
      </vt:variant>
      <vt:variant>
        <vt:lpwstr/>
      </vt:variant>
      <vt:variant>
        <vt:lpwstr>_Toc177752957</vt:lpwstr>
      </vt:variant>
      <vt:variant>
        <vt:i4>1048634</vt:i4>
      </vt:variant>
      <vt:variant>
        <vt:i4>455</vt:i4>
      </vt:variant>
      <vt:variant>
        <vt:i4>0</vt:i4>
      </vt:variant>
      <vt:variant>
        <vt:i4>5</vt:i4>
      </vt:variant>
      <vt:variant>
        <vt:lpwstr/>
      </vt:variant>
      <vt:variant>
        <vt:lpwstr>_Toc177752956</vt:lpwstr>
      </vt:variant>
      <vt:variant>
        <vt:i4>1048634</vt:i4>
      </vt:variant>
      <vt:variant>
        <vt:i4>449</vt:i4>
      </vt:variant>
      <vt:variant>
        <vt:i4>0</vt:i4>
      </vt:variant>
      <vt:variant>
        <vt:i4>5</vt:i4>
      </vt:variant>
      <vt:variant>
        <vt:lpwstr/>
      </vt:variant>
      <vt:variant>
        <vt:lpwstr>_Toc177752955</vt:lpwstr>
      </vt:variant>
      <vt:variant>
        <vt:i4>1048634</vt:i4>
      </vt:variant>
      <vt:variant>
        <vt:i4>443</vt:i4>
      </vt:variant>
      <vt:variant>
        <vt:i4>0</vt:i4>
      </vt:variant>
      <vt:variant>
        <vt:i4>5</vt:i4>
      </vt:variant>
      <vt:variant>
        <vt:lpwstr/>
      </vt:variant>
      <vt:variant>
        <vt:lpwstr>_Toc177752954</vt:lpwstr>
      </vt:variant>
      <vt:variant>
        <vt:i4>1048634</vt:i4>
      </vt:variant>
      <vt:variant>
        <vt:i4>437</vt:i4>
      </vt:variant>
      <vt:variant>
        <vt:i4>0</vt:i4>
      </vt:variant>
      <vt:variant>
        <vt:i4>5</vt:i4>
      </vt:variant>
      <vt:variant>
        <vt:lpwstr/>
      </vt:variant>
      <vt:variant>
        <vt:lpwstr>_Toc177752953</vt:lpwstr>
      </vt:variant>
      <vt:variant>
        <vt:i4>1048634</vt:i4>
      </vt:variant>
      <vt:variant>
        <vt:i4>431</vt:i4>
      </vt:variant>
      <vt:variant>
        <vt:i4>0</vt:i4>
      </vt:variant>
      <vt:variant>
        <vt:i4>5</vt:i4>
      </vt:variant>
      <vt:variant>
        <vt:lpwstr/>
      </vt:variant>
      <vt:variant>
        <vt:lpwstr>_Toc177752952</vt:lpwstr>
      </vt:variant>
      <vt:variant>
        <vt:i4>1048634</vt:i4>
      </vt:variant>
      <vt:variant>
        <vt:i4>425</vt:i4>
      </vt:variant>
      <vt:variant>
        <vt:i4>0</vt:i4>
      </vt:variant>
      <vt:variant>
        <vt:i4>5</vt:i4>
      </vt:variant>
      <vt:variant>
        <vt:lpwstr/>
      </vt:variant>
      <vt:variant>
        <vt:lpwstr>_Toc177752951</vt:lpwstr>
      </vt:variant>
      <vt:variant>
        <vt:i4>1048634</vt:i4>
      </vt:variant>
      <vt:variant>
        <vt:i4>419</vt:i4>
      </vt:variant>
      <vt:variant>
        <vt:i4>0</vt:i4>
      </vt:variant>
      <vt:variant>
        <vt:i4>5</vt:i4>
      </vt:variant>
      <vt:variant>
        <vt:lpwstr/>
      </vt:variant>
      <vt:variant>
        <vt:lpwstr>_Toc177752950</vt:lpwstr>
      </vt:variant>
      <vt:variant>
        <vt:i4>1114170</vt:i4>
      </vt:variant>
      <vt:variant>
        <vt:i4>413</vt:i4>
      </vt:variant>
      <vt:variant>
        <vt:i4>0</vt:i4>
      </vt:variant>
      <vt:variant>
        <vt:i4>5</vt:i4>
      </vt:variant>
      <vt:variant>
        <vt:lpwstr/>
      </vt:variant>
      <vt:variant>
        <vt:lpwstr>_Toc177752949</vt:lpwstr>
      </vt:variant>
      <vt:variant>
        <vt:i4>1114170</vt:i4>
      </vt:variant>
      <vt:variant>
        <vt:i4>407</vt:i4>
      </vt:variant>
      <vt:variant>
        <vt:i4>0</vt:i4>
      </vt:variant>
      <vt:variant>
        <vt:i4>5</vt:i4>
      </vt:variant>
      <vt:variant>
        <vt:lpwstr/>
      </vt:variant>
      <vt:variant>
        <vt:lpwstr>_Toc177752948</vt:lpwstr>
      </vt:variant>
      <vt:variant>
        <vt:i4>1114170</vt:i4>
      </vt:variant>
      <vt:variant>
        <vt:i4>401</vt:i4>
      </vt:variant>
      <vt:variant>
        <vt:i4>0</vt:i4>
      </vt:variant>
      <vt:variant>
        <vt:i4>5</vt:i4>
      </vt:variant>
      <vt:variant>
        <vt:lpwstr/>
      </vt:variant>
      <vt:variant>
        <vt:lpwstr>_Toc177752947</vt:lpwstr>
      </vt:variant>
      <vt:variant>
        <vt:i4>1114170</vt:i4>
      </vt:variant>
      <vt:variant>
        <vt:i4>395</vt:i4>
      </vt:variant>
      <vt:variant>
        <vt:i4>0</vt:i4>
      </vt:variant>
      <vt:variant>
        <vt:i4>5</vt:i4>
      </vt:variant>
      <vt:variant>
        <vt:lpwstr/>
      </vt:variant>
      <vt:variant>
        <vt:lpwstr>_Toc177752946</vt:lpwstr>
      </vt:variant>
      <vt:variant>
        <vt:i4>1114170</vt:i4>
      </vt:variant>
      <vt:variant>
        <vt:i4>389</vt:i4>
      </vt:variant>
      <vt:variant>
        <vt:i4>0</vt:i4>
      </vt:variant>
      <vt:variant>
        <vt:i4>5</vt:i4>
      </vt:variant>
      <vt:variant>
        <vt:lpwstr/>
      </vt:variant>
      <vt:variant>
        <vt:lpwstr>_Toc177752945</vt:lpwstr>
      </vt:variant>
      <vt:variant>
        <vt:i4>1114170</vt:i4>
      </vt:variant>
      <vt:variant>
        <vt:i4>383</vt:i4>
      </vt:variant>
      <vt:variant>
        <vt:i4>0</vt:i4>
      </vt:variant>
      <vt:variant>
        <vt:i4>5</vt:i4>
      </vt:variant>
      <vt:variant>
        <vt:lpwstr/>
      </vt:variant>
      <vt:variant>
        <vt:lpwstr>_Toc177752944</vt:lpwstr>
      </vt:variant>
      <vt:variant>
        <vt:i4>1114170</vt:i4>
      </vt:variant>
      <vt:variant>
        <vt:i4>377</vt:i4>
      </vt:variant>
      <vt:variant>
        <vt:i4>0</vt:i4>
      </vt:variant>
      <vt:variant>
        <vt:i4>5</vt:i4>
      </vt:variant>
      <vt:variant>
        <vt:lpwstr/>
      </vt:variant>
      <vt:variant>
        <vt:lpwstr>_Toc177752943</vt:lpwstr>
      </vt:variant>
      <vt:variant>
        <vt:i4>1114170</vt:i4>
      </vt:variant>
      <vt:variant>
        <vt:i4>371</vt:i4>
      </vt:variant>
      <vt:variant>
        <vt:i4>0</vt:i4>
      </vt:variant>
      <vt:variant>
        <vt:i4>5</vt:i4>
      </vt:variant>
      <vt:variant>
        <vt:lpwstr/>
      </vt:variant>
      <vt:variant>
        <vt:lpwstr>_Toc177752942</vt:lpwstr>
      </vt:variant>
      <vt:variant>
        <vt:i4>1114170</vt:i4>
      </vt:variant>
      <vt:variant>
        <vt:i4>365</vt:i4>
      </vt:variant>
      <vt:variant>
        <vt:i4>0</vt:i4>
      </vt:variant>
      <vt:variant>
        <vt:i4>5</vt:i4>
      </vt:variant>
      <vt:variant>
        <vt:lpwstr/>
      </vt:variant>
      <vt:variant>
        <vt:lpwstr>_Toc177752941</vt:lpwstr>
      </vt:variant>
      <vt:variant>
        <vt:i4>1114170</vt:i4>
      </vt:variant>
      <vt:variant>
        <vt:i4>359</vt:i4>
      </vt:variant>
      <vt:variant>
        <vt:i4>0</vt:i4>
      </vt:variant>
      <vt:variant>
        <vt:i4>5</vt:i4>
      </vt:variant>
      <vt:variant>
        <vt:lpwstr/>
      </vt:variant>
      <vt:variant>
        <vt:lpwstr>_Toc177752940</vt:lpwstr>
      </vt:variant>
      <vt:variant>
        <vt:i4>1441850</vt:i4>
      </vt:variant>
      <vt:variant>
        <vt:i4>353</vt:i4>
      </vt:variant>
      <vt:variant>
        <vt:i4>0</vt:i4>
      </vt:variant>
      <vt:variant>
        <vt:i4>5</vt:i4>
      </vt:variant>
      <vt:variant>
        <vt:lpwstr/>
      </vt:variant>
      <vt:variant>
        <vt:lpwstr>_Toc177752939</vt:lpwstr>
      </vt:variant>
      <vt:variant>
        <vt:i4>1441850</vt:i4>
      </vt:variant>
      <vt:variant>
        <vt:i4>347</vt:i4>
      </vt:variant>
      <vt:variant>
        <vt:i4>0</vt:i4>
      </vt:variant>
      <vt:variant>
        <vt:i4>5</vt:i4>
      </vt:variant>
      <vt:variant>
        <vt:lpwstr/>
      </vt:variant>
      <vt:variant>
        <vt:lpwstr>_Toc177752938</vt:lpwstr>
      </vt:variant>
      <vt:variant>
        <vt:i4>1441850</vt:i4>
      </vt:variant>
      <vt:variant>
        <vt:i4>341</vt:i4>
      </vt:variant>
      <vt:variant>
        <vt:i4>0</vt:i4>
      </vt:variant>
      <vt:variant>
        <vt:i4>5</vt:i4>
      </vt:variant>
      <vt:variant>
        <vt:lpwstr/>
      </vt:variant>
      <vt:variant>
        <vt:lpwstr>_Toc177752937</vt:lpwstr>
      </vt:variant>
      <vt:variant>
        <vt:i4>1441850</vt:i4>
      </vt:variant>
      <vt:variant>
        <vt:i4>335</vt:i4>
      </vt:variant>
      <vt:variant>
        <vt:i4>0</vt:i4>
      </vt:variant>
      <vt:variant>
        <vt:i4>5</vt:i4>
      </vt:variant>
      <vt:variant>
        <vt:lpwstr/>
      </vt:variant>
      <vt:variant>
        <vt:lpwstr>_Toc177752936</vt:lpwstr>
      </vt:variant>
      <vt:variant>
        <vt:i4>1441850</vt:i4>
      </vt:variant>
      <vt:variant>
        <vt:i4>329</vt:i4>
      </vt:variant>
      <vt:variant>
        <vt:i4>0</vt:i4>
      </vt:variant>
      <vt:variant>
        <vt:i4>5</vt:i4>
      </vt:variant>
      <vt:variant>
        <vt:lpwstr/>
      </vt:variant>
      <vt:variant>
        <vt:lpwstr>_Toc177752935</vt:lpwstr>
      </vt:variant>
      <vt:variant>
        <vt:i4>1441850</vt:i4>
      </vt:variant>
      <vt:variant>
        <vt:i4>323</vt:i4>
      </vt:variant>
      <vt:variant>
        <vt:i4>0</vt:i4>
      </vt:variant>
      <vt:variant>
        <vt:i4>5</vt:i4>
      </vt:variant>
      <vt:variant>
        <vt:lpwstr/>
      </vt:variant>
      <vt:variant>
        <vt:lpwstr>_Toc177752934</vt:lpwstr>
      </vt:variant>
      <vt:variant>
        <vt:i4>1441850</vt:i4>
      </vt:variant>
      <vt:variant>
        <vt:i4>317</vt:i4>
      </vt:variant>
      <vt:variant>
        <vt:i4>0</vt:i4>
      </vt:variant>
      <vt:variant>
        <vt:i4>5</vt:i4>
      </vt:variant>
      <vt:variant>
        <vt:lpwstr/>
      </vt:variant>
      <vt:variant>
        <vt:lpwstr>_Toc177752933</vt:lpwstr>
      </vt:variant>
      <vt:variant>
        <vt:i4>1441850</vt:i4>
      </vt:variant>
      <vt:variant>
        <vt:i4>311</vt:i4>
      </vt:variant>
      <vt:variant>
        <vt:i4>0</vt:i4>
      </vt:variant>
      <vt:variant>
        <vt:i4>5</vt:i4>
      </vt:variant>
      <vt:variant>
        <vt:lpwstr/>
      </vt:variant>
      <vt:variant>
        <vt:lpwstr>_Toc177752932</vt:lpwstr>
      </vt:variant>
      <vt:variant>
        <vt:i4>1441850</vt:i4>
      </vt:variant>
      <vt:variant>
        <vt:i4>305</vt:i4>
      </vt:variant>
      <vt:variant>
        <vt:i4>0</vt:i4>
      </vt:variant>
      <vt:variant>
        <vt:i4>5</vt:i4>
      </vt:variant>
      <vt:variant>
        <vt:lpwstr/>
      </vt:variant>
      <vt:variant>
        <vt:lpwstr>_Toc177752931</vt:lpwstr>
      </vt:variant>
      <vt:variant>
        <vt:i4>1441850</vt:i4>
      </vt:variant>
      <vt:variant>
        <vt:i4>299</vt:i4>
      </vt:variant>
      <vt:variant>
        <vt:i4>0</vt:i4>
      </vt:variant>
      <vt:variant>
        <vt:i4>5</vt:i4>
      </vt:variant>
      <vt:variant>
        <vt:lpwstr/>
      </vt:variant>
      <vt:variant>
        <vt:lpwstr>_Toc177752930</vt:lpwstr>
      </vt:variant>
      <vt:variant>
        <vt:i4>1507386</vt:i4>
      </vt:variant>
      <vt:variant>
        <vt:i4>293</vt:i4>
      </vt:variant>
      <vt:variant>
        <vt:i4>0</vt:i4>
      </vt:variant>
      <vt:variant>
        <vt:i4>5</vt:i4>
      </vt:variant>
      <vt:variant>
        <vt:lpwstr/>
      </vt:variant>
      <vt:variant>
        <vt:lpwstr>_Toc177752929</vt:lpwstr>
      </vt:variant>
      <vt:variant>
        <vt:i4>1507386</vt:i4>
      </vt:variant>
      <vt:variant>
        <vt:i4>287</vt:i4>
      </vt:variant>
      <vt:variant>
        <vt:i4>0</vt:i4>
      </vt:variant>
      <vt:variant>
        <vt:i4>5</vt:i4>
      </vt:variant>
      <vt:variant>
        <vt:lpwstr/>
      </vt:variant>
      <vt:variant>
        <vt:lpwstr>_Toc177752928</vt:lpwstr>
      </vt:variant>
      <vt:variant>
        <vt:i4>1507386</vt:i4>
      </vt:variant>
      <vt:variant>
        <vt:i4>281</vt:i4>
      </vt:variant>
      <vt:variant>
        <vt:i4>0</vt:i4>
      </vt:variant>
      <vt:variant>
        <vt:i4>5</vt:i4>
      </vt:variant>
      <vt:variant>
        <vt:lpwstr/>
      </vt:variant>
      <vt:variant>
        <vt:lpwstr>_Toc177752927</vt:lpwstr>
      </vt:variant>
      <vt:variant>
        <vt:i4>1507386</vt:i4>
      </vt:variant>
      <vt:variant>
        <vt:i4>275</vt:i4>
      </vt:variant>
      <vt:variant>
        <vt:i4>0</vt:i4>
      </vt:variant>
      <vt:variant>
        <vt:i4>5</vt:i4>
      </vt:variant>
      <vt:variant>
        <vt:lpwstr/>
      </vt:variant>
      <vt:variant>
        <vt:lpwstr>_Toc177752926</vt:lpwstr>
      </vt:variant>
      <vt:variant>
        <vt:i4>1507386</vt:i4>
      </vt:variant>
      <vt:variant>
        <vt:i4>269</vt:i4>
      </vt:variant>
      <vt:variant>
        <vt:i4>0</vt:i4>
      </vt:variant>
      <vt:variant>
        <vt:i4>5</vt:i4>
      </vt:variant>
      <vt:variant>
        <vt:lpwstr/>
      </vt:variant>
      <vt:variant>
        <vt:lpwstr>_Toc177752925</vt:lpwstr>
      </vt:variant>
      <vt:variant>
        <vt:i4>1507386</vt:i4>
      </vt:variant>
      <vt:variant>
        <vt:i4>263</vt:i4>
      </vt:variant>
      <vt:variant>
        <vt:i4>0</vt:i4>
      </vt:variant>
      <vt:variant>
        <vt:i4>5</vt:i4>
      </vt:variant>
      <vt:variant>
        <vt:lpwstr/>
      </vt:variant>
      <vt:variant>
        <vt:lpwstr>_Toc177752924</vt:lpwstr>
      </vt:variant>
      <vt:variant>
        <vt:i4>1507386</vt:i4>
      </vt:variant>
      <vt:variant>
        <vt:i4>254</vt:i4>
      </vt:variant>
      <vt:variant>
        <vt:i4>0</vt:i4>
      </vt:variant>
      <vt:variant>
        <vt:i4>5</vt:i4>
      </vt:variant>
      <vt:variant>
        <vt:lpwstr/>
      </vt:variant>
      <vt:variant>
        <vt:lpwstr>_Toc177752923</vt:lpwstr>
      </vt:variant>
      <vt:variant>
        <vt:i4>1507386</vt:i4>
      </vt:variant>
      <vt:variant>
        <vt:i4>248</vt:i4>
      </vt:variant>
      <vt:variant>
        <vt:i4>0</vt:i4>
      </vt:variant>
      <vt:variant>
        <vt:i4>5</vt:i4>
      </vt:variant>
      <vt:variant>
        <vt:lpwstr/>
      </vt:variant>
      <vt:variant>
        <vt:lpwstr>_Toc177752922</vt:lpwstr>
      </vt:variant>
      <vt:variant>
        <vt:i4>1507386</vt:i4>
      </vt:variant>
      <vt:variant>
        <vt:i4>242</vt:i4>
      </vt:variant>
      <vt:variant>
        <vt:i4>0</vt:i4>
      </vt:variant>
      <vt:variant>
        <vt:i4>5</vt:i4>
      </vt:variant>
      <vt:variant>
        <vt:lpwstr/>
      </vt:variant>
      <vt:variant>
        <vt:lpwstr>_Toc177752921</vt:lpwstr>
      </vt:variant>
      <vt:variant>
        <vt:i4>1507386</vt:i4>
      </vt:variant>
      <vt:variant>
        <vt:i4>236</vt:i4>
      </vt:variant>
      <vt:variant>
        <vt:i4>0</vt:i4>
      </vt:variant>
      <vt:variant>
        <vt:i4>5</vt:i4>
      </vt:variant>
      <vt:variant>
        <vt:lpwstr/>
      </vt:variant>
      <vt:variant>
        <vt:lpwstr>_Toc177752920</vt:lpwstr>
      </vt:variant>
      <vt:variant>
        <vt:i4>1310778</vt:i4>
      </vt:variant>
      <vt:variant>
        <vt:i4>230</vt:i4>
      </vt:variant>
      <vt:variant>
        <vt:i4>0</vt:i4>
      </vt:variant>
      <vt:variant>
        <vt:i4>5</vt:i4>
      </vt:variant>
      <vt:variant>
        <vt:lpwstr/>
      </vt:variant>
      <vt:variant>
        <vt:lpwstr>_Toc177752919</vt:lpwstr>
      </vt:variant>
      <vt:variant>
        <vt:i4>1310778</vt:i4>
      </vt:variant>
      <vt:variant>
        <vt:i4>224</vt:i4>
      </vt:variant>
      <vt:variant>
        <vt:i4>0</vt:i4>
      </vt:variant>
      <vt:variant>
        <vt:i4>5</vt:i4>
      </vt:variant>
      <vt:variant>
        <vt:lpwstr/>
      </vt:variant>
      <vt:variant>
        <vt:lpwstr>_Toc177752918</vt:lpwstr>
      </vt:variant>
      <vt:variant>
        <vt:i4>1310778</vt:i4>
      </vt:variant>
      <vt:variant>
        <vt:i4>218</vt:i4>
      </vt:variant>
      <vt:variant>
        <vt:i4>0</vt:i4>
      </vt:variant>
      <vt:variant>
        <vt:i4>5</vt:i4>
      </vt:variant>
      <vt:variant>
        <vt:lpwstr/>
      </vt:variant>
      <vt:variant>
        <vt:lpwstr>_Toc177752917</vt:lpwstr>
      </vt:variant>
      <vt:variant>
        <vt:i4>1310778</vt:i4>
      </vt:variant>
      <vt:variant>
        <vt:i4>212</vt:i4>
      </vt:variant>
      <vt:variant>
        <vt:i4>0</vt:i4>
      </vt:variant>
      <vt:variant>
        <vt:i4>5</vt:i4>
      </vt:variant>
      <vt:variant>
        <vt:lpwstr/>
      </vt:variant>
      <vt:variant>
        <vt:lpwstr>_Toc177752916</vt:lpwstr>
      </vt:variant>
      <vt:variant>
        <vt:i4>1310778</vt:i4>
      </vt:variant>
      <vt:variant>
        <vt:i4>206</vt:i4>
      </vt:variant>
      <vt:variant>
        <vt:i4>0</vt:i4>
      </vt:variant>
      <vt:variant>
        <vt:i4>5</vt:i4>
      </vt:variant>
      <vt:variant>
        <vt:lpwstr/>
      </vt:variant>
      <vt:variant>
        <vt:lpwstr>_Toc177752915</vt:lpwstr>
      </vt:variant>
      <vt:variant>
        <vt:i4>1310778</vt:i4>
      </vt:variant>
      <vt:variant>
        <vt:i4>200</vt:i4>
      </vt:variant>
      <vt:variant>
        <vt:i4>0</vt:i4>
      </vt:variant>
      <vt:variant>
        <vt:i4>5</vt:i4>
      </vt:variant>
      <vt:variant>
        <vt:lpwstr/>
      </vt:variant>
      <vt:variant>
        <vt:lpwstr>_Toc177752914</vt:lpwstr>
      </vt:variant>
      <vt:variant>
        <vt:i4>1310778</vt:i4>
      </vt:variant>
      <vt:variant>
        <vt:i4>194</vt:i4>
      </vt:variant>
      <vt:variant>
        <vt:i4>0</vt:i4>
      </vt:variant>
      <vt:variant>
        <vt:i4>5</vt:i4>
      </vt:variant>
      <vt:variant>
        <vt:lpwstr/>
      </vt:variant>
      <vt:variant>
        <vt:lpwstr>_Toc177752913</vt:lpwstr>
      </vt:variant>
      <vt:variant>
        <vt:i4>1310778</vt:i4>
      </vt:variant>
      <vt:variant>
        <vt:i4>188</vt:i4>
      </vt:variant>
      <vt:variant>
        <vt:i4>0</vt:i4>
      </vt:variant>
      <vt:variant>
        <vt:i4>5</vt:i4>
      </vt:variant>
      <vt:variant>
        <vt:lpwstr/>
      </vt:variant>
      <vt:variant>
        <vt:lpwstr>_Toc177752912</vt:lpwstr>
      </vt:variant>
      <vt:variant>
        <vt:i4>1310778</vt:i4>
      </vt:variant>
      <vt:variant>
        <vt:i4>182</vt:i4>
      </vt:variant>
      <vt:variant>
        <vt:i4>0</vt:i4>
      </vt:variant>
      <vt:variant>
        <vt:i4>5</vt:i4>
      </vt:variant>
      <vt:variant>
        <vt:lpwstr/>
      </vt:variant>
      <vt:variant>
        <vt:lpwstr>_Toc177752911</vt:lpwstr>
      </vt:variant>
      <vt:variant>
        <vt:i4>1310778</vt:i4>
      </vt:variant>
      <vt:variant>
        <vt:i4>176</vt:i4>
      </vt:variant>
      <vt:variant>
        <vt:i4>0</vt:i4>
      </vt:variant>
      <vt:variant>
        <vt:i4>5</vt:i4>
      </vt:variant>
      <vt:variant>
        <vt:lpwstr/>
      </vt:variant>
      <vt:variant>
        <vt:lpwstr>_Toc177752910</vt:lpwstr>
      </vt:variant>
      <vt:variant>
        <vt:i4>1376314</vt:i4>
      </vt:variant>
      <vt:variant>
        <vt:i4>170</vt:i4>
      </vt:variant>
      <vt:variant>
        <vt:i4>0</vt:i4>
      </vt:variant>
      <vt:variant>
        <vt:i4>5</vt:i4>
      </vt:variant>
      <vt:variant>
        <vt:lpwstr/>
      </vt:variant>
      <vt:variant>
        <vt:lpwstr>_Toc177752909</vt:lpwstr>
      </vt:variant>
      <vt:variant>
        <vt:i4>1376314</vt:i4>
      </vt:variant>
      <vt:variant>
        <vt:i4>164</vt:i4>
      </vt:variant>
      <vt:variant>
        <vt:i4>0</vt:i4>
      </vt:variant>
      <vt:variant>
        <vt:i4>5</vt:i4>
      </vt:variant>
      <vt:variant>
        <vt:lpwstr/>
      </vt:variant>
      <vt:variant>
        <vt:lpwstr>_Toc177752908</vt:lpwstr>
      </vt:variant>
      <vt:variant>
        <vt:i4>1376314</vt:i4>
      </vt:variant>
      <vt:variant>
        <vt:i4>158</vt:i4>
      </vt:variant>
      <vt:variant>
        <vt:i4>0</vt:i4>
      </vt:variant>
      <vt:variant>
        <vt:i4>5</vt:i4>
      </vt:variant>
      <vt:variant>
        <vt:lpwstr/>
      </vt:variant>
      <vt:variant>
        <vt:lpwstr>_Toc177752907</vt:lpwstr>
      </vt:variant>
      <vt:variant>
        <vt:i4>1376314</vt:i4>
      </vt:variant>
      <vt:variant>
        <vt:i4>152</vt:i4>
      </vt:variant>
      <vt:variant>
        <vt:i4>0</vt:i4>
      </vt:variant>
      <vt:variant>
        <vt:i4>5</vt:i4>
      </vt:variant>
      <vt:variant>
        <vt:lpwstr/>
      </vt:variant>
      <vt:variant>
        <vt:lpwstr>_Toc177752906</vt:lpwstr>
      </vt:variant>
      <vt:variant>
        <vt:i4>1376314</vt:i4>
      </vt:variant>
      <vt:variant>
        <vt:i4>146</vt:i4>
      </vt:variant>
      <vt:variant>
        <vt:i4>0</vt:i4>
      </vt:variant>
      <vt:variant>
        <vt:i4>5</vt:i4>
      </vt:variant>
      <vt:variant>
        <vt:lpwstr/>
      </vt:variant>
      <vt:variant>
        <vt:lpwstr>_Toc177752905</vt:lpwstr>
      </vt:variant>
      <vt:variant>
        <vt:i4>1376314</vt:i4>
      </vt:variant>
      <vt:variant>
        <vt:i4>140</vt:i4>
      </vt:variant>
      <vt:variant>
        <vt:i4>0</vt:i4>
      </vt:variant>
      <vt:variant>
        <vt:i4>5</vt:i4>
      </vt:variant>
      <vt:variant>
        <vt:lpwstr/>
      </vt:variant>
      <vt:variant>
        <vt:lpwstr>_Toc177752904</vt:lpwstr>
      </vt:variant>
      <vt:variant>
        <vt:i4>1376314</vt:i4>
      </vt:variant>
      <vt:variant>
        <vt:i4>134</vt:i4>
      </vt:variant>
      <vt:variant>
        <vt:i4>0</vt:i4>
      </vt:variant>
      <vt:variant>
        <vt:i4>5</vt:i4>
      </vt:variant>
      <vt:variant>
        <vt:lpwstr/>
      </vt:variant>
      <vt:variant>
        <vt:lpwstr>_Toc177752903</vt:lpwstr>
      </vt:variant>
      <vt:variant>
        <vt:i4>1376314</vt:i4>
      </vt:variant>
      <vt:variant>
        <vt:i4>128</vt:i4>
      </vt:variant>
      <vt:variant>
        <vt:i4>0</vt:i4>
      </vt:variant>
      <vt:variant>
        <vt:i4>5</vt:i4>
      </vt:variant>
      <vt:variant>
        <vt:lpwstr/>
      </vt:variant>
      <vt:variant>
        <vt:lpwstr>_Toc177752902</vt:lpwstr>
      </vt:variant>
      <vt:variant>
        <vt:i4>1376314</vt:i4>
      </vt:variant>
      <vt:variant>
        <vt:i4>122</vt:i4>
      </vt:variant>
      <vt:variant>
        <vt:i4>0</vt:i4>
      </vt:variant>
      <vt:variant>
        <vt:i4>5</vt:i4>
      </vt:variant>
      <vt:variant>
        <vt:lpwstr/>
      </vt:variant>
      <vt:variant>
        <vt:lpwstr>_Toc177752901</vt:lpwstr>
      </vt:variant>
      <vt:variant>
        <vt:i4>1835067</vt:i4>
      </vt:variant>
      <vt:variant>
        <vt:i4>116</vt:i4>
      </vt:variant>
      <vt:variant>
        <vt:i4>0</vt:i4>
      </vt:variant>
      <vt:variant>
        <vt:i4>5</vt:i4>
      </vt:variant>
      <vt:variant>
        <vt:lpwstr/>
      </vt:variant>
      <vt:variant>
        <vt:lpwstr>_Toc177752899</vt:lpwstr>
      </vt:variant>
      <vt:variant>
        <vt:i4>1835067</vt:i4>
      </vt:variant>
      <vt:variant>
        <vt:i4>110</vt:i4>
      </vt:variant>
      <vt:variant>
        <vt:i4>0</vt:i4>
      </vt:variant>
      <vt:variant>
        <vt:i4>5</vt:i4>
      </vt:variant>
      <vt:variant>
        <vt:lpwstr/>
      </vt:variant>
      <vt:variant>
        <vt:lpwstr>_Toc177752898</vt:lpwstr>
      </vt:variant>
      <vt:variant>
        <vt:i4>1835067</vt:i4>
      </vt:variant>
      <vt:variant>
        <vt:i4>104</vt:i4>
      </vt:variant>
      <vt:variant>
        <vt:i4>0</vt:i4>
      </vt:variant>
      <vt:variant>
        <vt:i4>5</vt:i4>
      </vt:variant>
      <vt:variant>
        <vt:lpwstr/>
      </vt:variant>
      <vt:variant>
        <vt:lpwstr>_Toc177752897</vt:lpwstr>
      </vt:variant>
      <vt:variant>
        <vt:i4>1835067</vt:i4>
      </vt:variant>
      <vt:variant>
        <vt:i4>98</vt:i4>
      </vt:variant>
      <vt:variant>
        <vt:i4>0</vt:i4>
      </vt:variant>
      <vt:variant>
        <vt:i4>5</vt:i4>
      </vt:variant>
      <vt:variant>
        <vt:lpwstr/>
      </vt:variant>
      <vt:variant>
        <vt:lpwstr>_Toc177752896</vt:lpwstr>
      </vt:variant>
      <vt:variant>
        <vt:i4>1835067</vt:i4>
      </vt:variant>
      <vt:variant>
        <vt:i4>92</vt:i4>
      </vt:variant>
      <vt:variant>
        <vt:i4>0</vt:i4>
      </vt:variant>
      <vt:variant>
        <vt:i4>5</vt:i4>
      </vt:variant>
      <vt:variant>
        <vt:lpwstr/>
      </vt:variant>
      <vt:variant>
        <vt:lpwstr>_Toc177752895</vt:lpwstr>
      </vt:variant>
      <vt:variant>
        <vt:i4>1835067</vt:i4>
      </vt:variant>
      <vt:variant>
        <vt:i4>86</vt:i4>
      </vt:variant>
      <vt:variant>
        <vt:i4>0</vt:i4>
      </vt:variant>
      <vt:variant>
        <vt:i4>5</vt:i4>
      </vt:variant>
      <vt:variant>
        <vt:lpwstr/>
      </vt:variant>
      <vt:variant>
        <vt:lpwstr>_Toc177752894</vt:lpwstr>
      </vt:variant>
      <vt:variant>
        <vt:i4>1835067</vt:i4>
      </vt:variant>
      <vt:variant>
        <vt:i4>80</vt:i4>
      </vt:variant>
      <vt:variant>
        <vt:i4>0</vt:i4>
      </vt:variant>
      <vt:variant>
        <vt:i4>5</vt:i4>
      </vt:variant>
      <vt:variant>
        <vt:lpwstr/>
      </vt:variant>
      <vt:variant>
        <vt:lpwstr>_Toc177752893</vt:lpwstr>
      </vt:variant>
      <vt:variant>
        <vt:i4>1835067</vt:i4>
      </vt:variant>
      <vt:variant>
        <vt:i4>74</vt:i4>
      </vt:variant>
      <vt:variant>
        <vt:i4>0</vt:i4>
      </vt:variant>
      <vt:variant>
        <vt:i4>5</vt:i4>
      </vt:variant>
      <vt:variant>
        <vt:lpwstr/>
      </vt:variant>
      <vt:variant>
        <vt:lpwstr>_Toc177752892</vt:lpwstr>
      </vt:variant>
      <vt:variant>
        <vt:i4>1835067</vt:i4>
      </vt:variant>
      <vt:variant>
        <vt:i4>68</vt:i4>
      </vt:variant>
      <vt:variant>
        <vt:i4>0</vt:i4>
      </vt:variant>
      <vt:variant>
        <vt:i4>5</vt:i4>
      </vt:variant>
      <vt:variant>
        <vt:lpwstr/>
      </vt:variant>
      <vt:variant>
        <vt:lpwstr>_Toc177752891</vt:lpwstr>
      </vt:variant>
      <vt:variant>
        <vt:i4>1835067</vt:i4>
      </vt:variant>
      <vt:variant>
        <vt:i4>62</vt:i4>
      </vt:variant>
      <vt:variant>
        <vt:i4>0</vt:i4>
      </vt:variant>
      <vt:variant>
        <vt:i4>5</vt:i4>
      </vt:variant>
      <vt:variant>
        <vt:lpwstr/>
      </vt:variant>
      <vt:variant>
        <vt:lpwstr>_Toc177752890</vt:lpwstr>
      </vt:variant>
      <vt:variant>
        <vt:i4>1900603</vt:i4>
      </vt:variant>
      <vt:variant>
        <vt:i4>56</vt:i4>
      </vt:variant>
      <vt:variant>
        <vt:i4>0</vt:i4>
      </vt:variant>
      <vt:variant>
        <vt:i4>5</vt:i4>
      </vt:variant>
      <vt:variant>
        <vt:lpwstr/>
      </vt:variant>
      <vt:variant>
        <vt:lpwstr>_Toc177752889</vt:lpwstr>
      </vt:variant>
      <vt:variant>
        <vt:i4>1900603</vt:i4>
      </vt:variant>
      <vt:variant>
        <vt:i4>50</vt:i4>
      </vt:variant>
      <vt:variant>
        <vt:i4>0</vt:i4>
      </vt:variant>
      <vt:variant>
        <vt:i4>5</vt:i4>
      </vt:variant>
      <vt:variant>
        <vt:lpwstr/>
      </vt:variant>
      <vt:variant>
        <vt:lpwstr>_Toc177752888</vt:lpwstr>
      </vt:variant>
      <vt:variant>
        <vt:i4>1900603</vt:i4>
      </vt:variant>
      <vt:variant>
        <vt:i4>44</vt:i4>
      </vt:variant>
      <vt:variant>
        <vt:i4>0</vt:i4>
      </vt:variant>
      <vt:variant>
        <vt:i4>5</vt:i4>
      </vt:variant>
      <vt:variant>
        <vt:lpwstr/>
      </vt:variant>
      <vt:variant>
        <vt:lpwstr>_Toc177752887</vt:lpwstr>
      </vt:variant>
      <vt:variant>
        <vt:i4>1900603</vt:i4>
      </vt:variant>
      <vt:variant>
        <vt:i4>38</vt:i4>
      </vt:variant>
      <vt:variant>
        <vt:i4>0</vt:i4>
      </vt:variant>
      <vt:variant>
        <vt:i4>5</vt:i4>
      </vt:variant>
      <vt:variant>
        <vt:lpwstr/>
      </vt:variant>
      <vt:variant>
        <vt:lpwstr>_Toc177752886</vt:lpwstr>
      </vt:variant>
      <vt:variant>
        <vt:i4>1900603</vt:i4>
      </vt:variant>
      <vt:variant>
        <vt:i4>32</vt:i4>
      </vt:variant>
      <vt:variant>
        <vt:i4>0</vt:i4>
      </vt:variant>
      <vt:variant>
        <vt:i4>5</vt:i4>
      </vt:variant>
      <vt:variant>
        <vt:lpwstr/>
      </vt:variant>
      <vt:variant>
        <vt:lpwstr>_Toc177752885</vt:lpwstr>
      </vt:variant>
      <vt:variant>
        <vt:i4>1900603</vt:i4>
      </vt:variant>
      <vt:variant>
        <vt:i4>26</vt:i4>
      </vt:variant>
      <vt:variant>
        <vt:i4>0</vt:i4>
      </vt:variant>
      <vt:variant>
        <vt:i4>5</vt:i4>
      </vt:variant>
      <vt:variant>
        <vt:lpwstr/>
      </vt:variant>
      <vt:variant>
        <vt:lpwstr>_Toc177752884</vt:lpwstr>
      </vt:variant>
      <vt:variant>
        <vt:i4>1900603</vt:i4>
      </vt:variant>
      <vt:variant>
        <vt:i4>20</vt:i4>
      </vt:variant>
      <vt:variant>
        <vt:i4>0</vt:i4>
      </vt:variant>
      <vt:variant>
        <vt:i4>5</vt:i4>
      </vt:variant>
      <vt:variant>
        <vt:lpwstr/>
      </vt:variant>
      <vt:variant>
        <vt:lpwstr>_Toc177752883</vt:lpwstr>
      </vt:variant>
      <vt:variant>
        <vt:i4>1900603</vt:i4>
      </vt:variant>
      <vt:variant>
        <vt:i4>14</vt:i4>
      </vt:variant>
      <vt:variant>
        <vt:i4>0</vt:i4>
      </vt:variant>
      <vt:variant>
        <vt:i4>5</vt:i4>
      </vt:variant>
      <vt:variant>
        <vt:lpwstr/>
      </vt:variant>
      <vt:variant>
        <vt:lpwstr>_Toc177752882</vt:lpwstr>
      </vt:variant>
      <vt:variant>
        <vt:i4>1900603</vt:i4>
      </vt:variant>
      <vt:variant>
        <vt:i4>8</vt:i4>
      </vt:variant>
      <vt:variant>
        <vt:i4>0</vt:i4>
      </vt:variant>
      <vt:variant>
        <vt:i4>5</vt:i4>
      </vt:variant>
      <vt:variant>
        <vt:lpwstr/>
      </vt:variant>
      <vt:variant>
        <vt:lpwstr>_Toc177752881</vt:lpwstr>
      </vt:variant>
      <vt:variant>
        <vt:i4>1900603</vt:i4>
      </vt:variant>
      <vt:variant>
        <vt:i4>2</vt:i4>
      </vt:variant>
      <vt:variant>
        <vt:i4>0</vt:i4>
      </vt:variant>
      <vt:variant>
        <vt:i4>5</vt:i4>
      </vt:variant>
      <vt:variant>
        <vt:lpwstr/>
      </vt:variant>
      <vt:variant>
        <vt:lpwstr>_Toc177752880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Brandon Rowan</cp:lastModifiedBy>
  <cp:revision>3</cp:revision>
  <dcterms:created xsi:type="dcterms:W3CDTF">1900-01-01T00:00:00Z</dcterms:created>
  <dcterms:modified xsi:type="dcterms:W3CDTF">2026-06-02T14:37:00Z</dcterms:modified>
</cp:coreProperties>
</file>